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Examination board: AQA, GCSE Geography (8035)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Examinations: Year 10: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 of year internal examination based on content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taught in Year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Year 11: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Unit 1 Living with the Physical Environment (35% of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total GCSE mark) – 1hour 30 mins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Unit 2 Challenges in the Human Environment (35%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total GCSE mark) – 1hour 30 mins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Unit 3 Geographical Applications (30% of the total IGCSE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mark) – 1 hour 15 mins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 examined assessment: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Studying geography gives you the opportunity to travel the world via the classroom,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learning about both the physical and human environment. You’ll understand how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geography impacts your life every day and discover the key opportunities and challenges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facing the world.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Course content: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Unit 1 – Living with the Physical Environment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Candidates answer questions on these three topics: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The Challenge of Natural Hazards (Tectonic Hazards; Weather Hazards; Climate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Change)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The Living World (Ecosystems; Tropical Rainforests; Cold Environments)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Physical Landscapes in the UK (River Landscapes; Glacial Landscapes)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Unit 2 – Challenges in the Human Environment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Candidates answer questions on these three topics: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Urban Issues and Challenges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The Changing Economic World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The Challenge of Resource Management (Resource Management; Energy)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Unit 3 – Geographical Applications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Section A – Issue Evaluation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Compulsory structured questions based on resources in a pre-released booklet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Section B – Fieldwork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Two separate pieces of fieldwork will be completed and questions asked upon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different aspect of the process in the examination.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Geographical Skills will also be tested in this paper.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