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Contact – Mr Williams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study this course?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Geography is an up-to-date, exciting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subject that will teach you about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different cultures around the world,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environment, and the future of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planet.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is it assessed?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Three exam papers in Year 11.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Two field trips to contrasting environments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e.g. a coastal and urban environment.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These are compulsory and will incur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some cost to students.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Key areas of study…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Hazardous Earth: The explosive power of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earthquakes, volcanoes, hurricanes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dynamics of climate change.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Economic Development: The role of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trade, aid and development in creating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rich and poor communities around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world.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Geography of the UK: The constantly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changing river and coastal landscapes,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migration and ageing populations.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People and the environment: Tropical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rainforests and consuming energy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resources.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you will study…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Exciting and engaging classwork,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developing knowledge and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range of geographic skills.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Challenging but interesting homework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tasks, allowing you to explore topics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issues that you find interesting.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Fieldtrips in the UK and abroad that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expose you to new environments 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geographical processes.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successful candidate will…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Have an interest in the world around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They will want to find out about people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of different cultures; how life is different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 countries and cities around the world;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how the environment operates.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Further information…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Geography supports a wide range 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career choices, from journalism 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law to the armed forces and charity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work.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It is fun, relevant and challenging.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It is a ‘perfect partner’ with many other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subjects, including History, Modern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Foreign Languages and Business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Studies.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