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Geography encourages students to investigate the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links between the human and physical, addressing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such topics as energy resources, sustainability and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climate change. During the course, students will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undertake two fieldtrips examining areas of both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natural and man-made world, whilst evaluating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impact one has upon the other. Geography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GCSE enables students to develop a strong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understanding of populations and demographics,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markets and regions, economic development and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globalisation; knowledge and skills which are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valued by employers.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