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Are you interested in studying Geography at GCSE? You should be because: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We teach an exciting, up to date, relevant and interesting curriculum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Geography is an academically rigorous subject and will prepare you well for moving on to further education.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Geography is included as an Ebacc subject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Geography helps you to develop a wide range of transferable skills – essential in the world of higher education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Geography provides opportunities for you to understand what is going on in the world around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Which Syllabus do we follow?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AQA specification recognises the vital role Geography has in the 21st century curriculum enabling our students to appreciate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complexity of our world and the diversity of its environments, economies and cultures. The course comprises three papers;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physical, one human and one that is skills and fieldwork based.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Paper 1: Living with the physical environment Paper 2: Challenges in the human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1hr 30min written exam. 35% of the GCSE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1hr 30min written exam. 35% of the GCSE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Units studied: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A: The challenge of natural hazards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Tectonic hazards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Tropical storms, Extreme weather in the UK and Climate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B: Physical landscapes in the UK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Coastal and River landscapes in the UK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C: The living world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Ecosystems (Tropical rainforests and Hot deserts)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Units studied: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A: Urban issues and challenges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Section B: The changing economic world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Section C: The challenges of resources management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Resource management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Energy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Paper 3: Geographical applications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75min written exam. 30% of the GCSE. Pre-release resources made available from March in the year of the exam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Units studied: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Section A: Issue evaluation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section assesses students’ geographical skills &amp; applied knowledge by looking at a particular issue(s) taken from part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of the course (using a pre-released resource). It challenges students’ critical thinking and problem solving skills.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Section B: Fieldwork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Students need to undertake two geographical enquiries. Students will be examined using a range of questions that assess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their understanding of fieldwork design, data collection and analysis.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can I do after I’ve completed the course?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Employers and Universities see Geography as a robust academic subject, rich in skills, knowledge and understanding. Geography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links the arts and the sciences, meaning it works with many subject combinations; a good grade will help to move you on to any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post-16 course.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GEOGRAPHERS CAN: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Make a concise report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Handle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Ask questions and find the answers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Make decisions about an issue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Analyse material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Manage themselves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Solve problems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GEOGRAPHERS ARE: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Independent thinkers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Good communicators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Spatially aware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Socially and environmentally aware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Problem solvers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Good team players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Computer literate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Well rounded, flexible thinkers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