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(AQA Examination Board)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course aims 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provide opportunities for fieldwork; pupils will be given the chance to gain first-hand experience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of investigating places, environments and human behaviour. They will link physical and human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geographical concepts; help develop spatial awareness; build a knowledge and understanding of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current events from local to global; develop transferable skills for the future, including literacy,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numeracy and statistics, ICT, problem solving, team work, thinking skills and enquiry.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 Studies: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The challenge of natural hazards – tectonic hazards, extreme weather and climate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change.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Physical landscapes in the UK – coast and river features and management.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The living world – ecosystems, tropical rainforests and hot deserts.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Urban issues and challenges – growth of urban areas, opportunities and challenges within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urban areas and urban planning.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The Changing Economic World – managing population change, growth of tourism, trade,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aid and debt and the economic futures and sustainability in the UK.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The Challenge of Resource Management – food and natural resources supplies and issues,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specifically food demand and sustainable management.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 classes are taught in mixed ability groups, the size of which will vary depending on the number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pupils opting to take Geography.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Time spent in school on this subject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 one hour lessons per two week cycle.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Fieldwork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Two contrasting studies take place where primary data is collected on both physical and human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geographical topics. These are reflected upon in lessons and used within one of the exams.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is set each week and supports classwork and examination practice.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Examination Details External Assessment: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Consisting of three exams.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Links with advanced courses and careers: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There are AS and A level courses in Geography. The variety of skills and topics covered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means that Geography integrates well with all subjects, including sociology, psychology 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geology. Geography also links well with a wide range of career options including: sustainable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management, project management, construction and engineering, market research, logistics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distribution, political risk analysis, development worker, commercial surveyor,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environmental consultant, teacher, architect, law, and the police.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more information please contact: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Miss Bones on Caroline.Bones@weaverhamhighschool.com or speak to your Geography teacher.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