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DEPARTMENT EXAM BOARD WEBSITE SPECIFICATION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Geography www.aqa.org.uk 8035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LEVELS ASSESSMENT(9-1) COURSE CONTACT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tiers of entry 100% Linear Exam Mr Patch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mark.patch@sandwich-tech.kent.sch.uk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Geography is a subject that bridges the sciences and the arts. This course gives students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opportunity to study the patterns and processes of the earth’s physical and human environments.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Students will travel the world from the classroom, exploring case studies in the United Kingdom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(UK), newly emerging economies (NEEs) and lower income countries (LICs).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Topics Covered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Maps, fieldwork and geographical skills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Place: processes and relationships – Geography of the UK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Physical Geography: processes and change – Geomorphic processes and landscape,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changing weather and climate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People and Environment – Global ecosystems and biodiversity, resources and their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Human Geography: processes and change – Cities and urban society, global economic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development issues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Assessment Structure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One: Living with the physical environment (1 hour 30 minutes) 35% of final grade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Paper Two: Challenges in the human environment (1 hour 30 minutes) 35% of final grade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Three: Geographical applications (1 hour 15 minutes) 30% of final grade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Progression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Geography combines well with a diverse range of subjects – business, sociology, environment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conservation, leisure and tourism and science to name but a few. The skills and knowledge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acquired during this course are useful in a very wide range of careers; local government, business,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banking, education, engineering and surveying, the legal profession, land management,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archaeology, transport, leisure and recreation, tourism, the police and the armed forces are just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few areas where Geography can be useful.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Pupils are able to go on to follow AS and A2 level courses in Geography. Pupils following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intermediate and advanced courses in Leisure and Tourism, Manufacturing and Business Studies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have all found geographical topics and skills covered useful.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k.patch@sandwich-tech.kent.sch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