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Examination Board: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AQA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Head of Department: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Miss J Bruce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SUBJECT IS ASSESSED IN THE FOLLOWING WAYS: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Living with the Physical Environment (35% of the total GCSE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marks) 1½ hours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Challenges in the Human Environment (35 % of the total GCSE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marks) 1½ hours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Geographical Applications (30% of the total GCSE marks) 1¼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hours Contains 2 sections, the first is about evaluating an issue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which pre-release material will be issued by the examination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board 12 weeks before the exam. The second section based 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field work enquiries.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REQUIREMENTS OF THE COURSE: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Students study a range of topics in Physical geography including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challenge of natural hazards (Tectonics, Weather and Climate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change), the living world (Ecosystems, Tropical Rainforest Cold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Environments) and UK physical landscapes (River landscapes &amp;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Glacial landscapes)and Human geography including Urban Issues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challenges, the changing economic world, the challenge of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resource management and food.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Fieldwork will take place outside the classroom and school grounds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 at least two occasions and will be carried out in contrasting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environments to show an understanding of both physical and human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geography. In at least one of the enquiries students will be expected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 show an understanding about the interaction between physical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human geography.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ADDITIONAL INFORMATION: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Throughout the GCSE Geography course students have the opportunity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 consider a variety of geographical issues and in doing so, become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knowledgeable and critical geographers. There is an emphasis on the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understanding of physical processes in the environment, as well as the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management and mismanagement of resources by people. Students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also have the opportunity during this course to develop their fieldwork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skills and build on their knowledge from Key Stage 3.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