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 Leader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 Dickason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mdickason@ivc.tmet.org.uk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 Board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AQA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type of qualification is it?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GCSE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GCSE Geography covers a wide range of human and physical topics. The course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enables you to explore how human and physical processes interact at a variety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scales, and some of the issues that arise from these interactions. Topics include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tectonic and weather hazards such as hurricanes and earthquakes as well as problems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linked to rapid urban growth and uneven economic development. You will learn about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wide range of real life case studies which will allow you to apply your learning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understanding. You will become familiar with and proficient in a range of subject specific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numeracy and literacy skills such as data response, issue evaluation and image analysis.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do well you need 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Be organised in your homework and classwork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Complete work to the best of your ability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Be prepared to research and explore wider geography through various mediums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Have an enquiring mind and a desire to challenge yourself.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Progression Pathways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IB Geography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IB Environmental Systems and Societies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Level Geography, Environmental Studies or Geology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Careers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There are a range of careers where Geography is useful. These include teaching, town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transport planning, career in tourism, international aid, environmental consultant, GIS information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systems, meteorologist, the armed forces and cartography to name just a few.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Module/Paper Content Assessment Date 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Paper 1: Physical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exam focuses on three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physical Geography units including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natural hazards, ecosystems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UK landscapes (coasts and rivers)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Written exam June 2023 35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Paper 2: Human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exam focuses on three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human units including urban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economic challenges and how we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and manage resources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Written exam June 2023 35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Paper 2: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Geographical skills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&amp; investigation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exam focuses on a range of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key skills as well as asking questions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about a fieldwork investigation you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carried out. You will also be asked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evaluate a geographical issue and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make a decision on it.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Written exam June 2023 30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