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exciting and relevant course studies geography in a balanced framework of physical and human themes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investigates the link between them while developing student’s global persepctives.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Students will explore case studies in the United Kingdom (UK), higher income countries (HICs), newly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emerging economies (NEEs) and lower income countries (LICs). Topics of study include climate change,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poverty, deprivation, global shifts in economic power and the challenge of sustainable resource use.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part of the course, students must attend a residential field trip in the UK to investigate both physical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human processes in the world. The cost of the trip is added to termly bills; please enquire for further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information.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Choose GCSE Geography and you will learn how today’s world was shaped and understand the challenges we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face in the future. You will also examine the Earth’s natural resources and the increasing battles between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man-made and natural world. This knowledge, paired with your essential curiosity, will give you the sought-after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transferable skills for success in further education and the workplace. As geographers, you will develop your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ability of “systems thinking” which is recognised by educators, entrepreneurs and employers as one of the most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valuable skills for the 21st century.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Living with the physical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Discover more about the challenge of natural hazards and the living world, physical landscapes of the United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Kingdom and human interaction with them. This unit develops an understanding of the tectonic,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geomorphological, biological and meteorological processes and features in different environments. It provides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with the knowledge about the need for management strategies governed by sustainability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consideration of the direct and indirect effects of human interaction with the Earth and the atmosphere.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Challenges in the human environment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unit is concerned with human processes, systems and outcomes and how these change both spatially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temporally. You will develop an understanding of the factors that produce a diverse variety of human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environments; the dynamic nature of these environments that change over time and place; the need 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sustainable management; and the areas of current and future challenge and opportunity for these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environments.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three written examinations.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Paper 1: Physical Environment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Challenge of natural hazards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living world – ecosystems, rainforests and deserts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Physical landscapes of the UK – rivers and coasts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Examination 1hour 30 minutes 35%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Paper 2: Urban Issues and Challenges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Changing Economic World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Urban Issues and Challenges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Challenge of Resource Management - Food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Examination 1hour 30 minutes 35%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Paper 3: Issue Evaluation (based on pre-released resource booklet which students can access 12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weeks before the examination date)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Fieldwork-based on 2 geographical enquiries, collecting primary data in contrasting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environments during the residential field trip.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Geographical skills – based on the use of maps, graphs and statistics.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Examination 1hour 15 minutes 30%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