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741b47"/>
          <w:sz w:val="28"/>
          <w:szCs w:val="28"/>
        </w:rPr>
      </w:pPr>
      <w:r w:rsidDel="00000000" w:rsidR="00000000" w:rsidRPr="00000000">
        <w:rPr>
          <w:b w:val="1"/>
          <w:bCs w:val="1"/>
          <w:color w:val="741b47"/>
          <w:sz w:val="28"/>
          <w:szCs w:val="28"/>
          <w:rtl w:val="0"/>
        </w:rPr>
        <w:t xml:space="preserve"> </w:t>
      </w:r>
      <w:r w:rsidDel="00000000" w:rsidR="00000000" w:rsidRPr="00000000">
        <w:rPr>
          <w:b w:val="1"/>
          <w:bCs w:val="1"/>
          <w:color w:val="741b47"/>
          <w:sz w:val="28"/>
          <w:szCs w:val="28"/>
          <w:rtl w:val="0"/>
        </w:rPr>
        <w:t xml:space="preserve">arbol49</w:t>
      </w:r>
      <w:r w:rsidDel="00000000" w:rsidR="00000000" w:rsidRPr="00000000">
        <w:rPr>
          <w:rtl w:val="0"/>
        </w:rPr>
      </w:r>
    </w:p>
    <w:p w:rsidR="00000000" w:rsidDel="00000000" w:rsidP="00000000" w:rsidRDefault="00000000" w:rsidRPr="00000000" w14:paraId="00000002">
      <w:pPr>
        <w:rPr>
          <w:b w:val="1"/>
          <w:bCs w:val="1"/>
          <w:color w:val="1155cc"/>
          <w:sz w:val="28"/>
          <w:szCs w:val="28"/>
        </w:rPr>
      </w:pPr>
      <w:r w:rsidDel="00000000" w:rsidR="00000000" w:rsidRPr="00000000">
        <w:rPr>
          <w:b w:val="1"/>
          <w:bCs w:val="1"/>
          <w:color w:val="1155cc"/>
          <w:sz w:val="28"/>
          <w:szCs w:val="28"/>
          <w:rtl w:val="0"/>
        </w:rPr>
        <w:t xml:space="preserve"> Palma Quency, Palma reina (</w:t>
      </w:r>
      <w:r w:rsidDel="00000000" w:rsidR="00000000" w:rsidRPr="00000000">
        <w:rPr>
          <w:b w:val="1"/>
          <w:bCs w:val="1"/>
          <w:color w:val="0645ad"/>
          <w:sz w:val="28"/>
          <w:szCs w:val="28"/>
          <w:rtl w:val="0"/>
        </w:rPr>
        <w:t xml:space="preserve">Archontophoenix cunninghamiana</w:t>
      </w:r>
      <w:r w:rsidDel="00000000" w:rsidR="00000000" w:rsidRPr="00000000">
        <w:rPr>
          <w:b w:val="1"/>
          <w:bCs w:val="1"/>
          <w:color w:val="1155cc"/>
          <w:sz w:val="28"/>
          <w:szCs w:val="28"/>
          <w:rtl w:val="0"/>
        </w:rPr>
        <w:t xml:space="preserve">):</w:t>
      </w:r>
    </w:p>
    <w:p w:rsidR="00000000" w:rsidDel="00000000" w:rsidP="00000000" w:rsidRDefault="00000000" w:rsidRPr="00000000" w14:paraId="00000003">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004">
      <w:pPr>
        <w:rPr/>
      </w:pPr>
      <w:r w:rsidDel="00000000" w:rsidR="00000000" w:rsidRPr="00000000">
        <w:rPr>
          <w:rtl w:val="0"/>
        </w:rPr>
        <w:t xml:space="preserve">Originaria de Australia, de tronco simple de 8-10 m de altura y hasta 18 cm de diámetro, cilíndrico, sin dilatarse en la base y sin espinas. Hojas pinnadas, de poco a muy curvadas,  verdes en el haz. </w:t>
      </w:r>
    </w:p>
    <w:p w:rsidR="00000000" w:rsidDel="00000000" w:rsidP="00000000" w:rsidRDefault="00000000" w:rsidRPr="00000000" w14:paraId="00000005">
      <w:pPr>
        <w:rPr/>
      </w:pPr>
      <w:r w:rsidDel="00000000" w:rsidR="00000000" w:rsidRPr="00000000">
        <w:rPr>
          <w:rtl w:val="0"/>
        </w:rPr>
        <w:t xml:space="preserve">Frutos esféricos, rojos, pequeños. Se adapta bien hasta en zonas húmedas. Se multiplica por semillas, siendo una palma delicada cuando pequeña. Su crecimiento es relativamente rápido, debe manejarse con cuidado ya que ha sido declarada como invasora en Brasil y Nueva Zelanda. </w:t>
      </w:r>
    </w:p>
    <w:p w:rsidR="00000000" w:rsidDel="00000000" w:rsidP="00000000" w:rsidRDefault="00000000" w:rsidRPr="00000000" w14:paraId="00000006">
      <w:pPr>
        <w:rPr>
          <w:highlight w:val="white"/>
        </w:rPr>
      </w:pPr>
      <w:r w:rsidDel="00000000" w:rsidR="00000000" w:rsidRPr="00000000">
        <w:rPr>
          <w:highlight w:val="white"/>
          <w:rtl w:val="0"/>
        </w:rPr>
        <w:t xml:space="preserve">Las flores son de color violeta y los frutos rojos son atractivos a las aves. Florece a mediados del verano y tiene un follaje perenne. Se ha naturalizado en muchas áreas donde se ha usado como </w:t>
      </w:r>
      <w:hyperlink r:id="rId6">
        <w:r w:rsidDel="00000000" w:rsidR="00000000" w:rsidRPr="00000000">
          <w:rPr>
            <w:highlight w:val="white"/>
            <w:rtl w:val="0"/>
          </w:rPr>
          <w:t xml:space="preserve">planta ornamental</w:t>
        </w:r>
      </w:hyperlink>
      <w:r w:rsidDel="00000000" w:rsidR="00000000" w:rsidRPr="00000000">
        <w:rPr>
          <w:highlight w:val="white"/>
          <w:rtl w:val="0"/>
        </w:rPr>
        <w:t xml:space="preserve">. Puede crecer solitario (1 árbol), como doble (si se juntan dos árboles muy apretados) y aún hasta en triple (tres árboles juntos muy apretados).</w:t>
      </w:r>
    </w:p>
    <w:p w:rsidR="00000000" w:rsidDel="00000000" w:rsidP="00000000" w:rsidRDefault="00000000" w:rsidRPr="00000000" w14:paraId="00000007">
      <w:pPr>
        <w:rPr>
          <w:highlight w:val="white"/>
        </w:rPr>
      </w:pPr>
      <w:r w:rsidDel="00000000" w:rsidR="00000000" w:rsidRPr="00000000">
        <w:rPr>
          <w:highlight w:val="white"/>
          <w:rtl w:val="0"/>
        </w:rPr>
        <w:t xml:space="preserve">En </w:t>
      </w:r>
      <w:hyperlink r:id="rId7">
        <w:r w:rsidDel="00000000" w:rsidR="00000000" w:rsidRPr="00000000">
          <w:rPr>
            <w:highlight w:val="white"/>
            <w:rtl w:val="0"/>
          </w:rPr>
          <w:t xml:space="preserve">Nueva Zelanda</w:t>
        </w:r>
      </w:hyperlink>
      <w:r w:rsidDel="00000000" w:rsidR="00000000" w:rsidRPr="00000000">
        <w:rPr>
          <w:highlight w:val="white"/>
          <w:rtl w:val="0"/>
        </w:rPr>
        <w:t xml:space="preserve">, existe la preocupación de que </w:t>
      </w:r>
      <w:r w:rsidDel="00000000" w:rsidR="00000000" w:rsidRPr="00000000">
        <w:rPr>
          <w:highlight w:val="white"/>
          <w:rtl w:val="0"/>
        </w:rPr>
        <w:t xml:space="preserve">la Palma reina </w:t>
      </w:r>
      <w:r w:rsidDel="00000000" w:rsidR="00000000" w:rsidRPr="00000000">
        <w:rPr>
          <w:highlight w:val="white"/>
          <w:rtl w:val="0"/>
        </w:rPr>
        <w:t xml:space="preserve">pudiera invadir los bosques nativos. El consejo regional de Auckland la ha incluido en la lista de plantas que requieren mayor investigación por su potencial para afectar de manera adversa al medio ambiente.</w:t>
      </w:r>
    </w:p>
    <w:p w:rsidR="00000000" w:rsidDel="00000000" w:rsidP="00000000" w:rsidRDefault="00000000" w:rsidRPr="00000000" w14:paraId="00000008">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009">
      <w:pPr>
        <w:rPr>
          <w:highlight w:val="white"/>
        </w:rPr>
      </w:pPr>
      <w:r w:rsidDel="00000000" w:rsidR="00000000" w:rsidRPr="00000000">
        <w:rPr>
          <w:highlight w:val="white"/>
          <w:rtl w:val="0"/>
        </w:rPr>
        <w:t xml:space="preserve">Generalmente se utiliza en espacios públicos, como </w:t>
      </w:r>
      <w:r w:rsidDel="00000000" w:rsidR="00000000" w:rsidRPr="00000000">
        <w:rPr>
          <w:shd w:fill="f9f9f9" w:val="clear"/>
          <w:rtl w:val="0"/>
        </w:rPr>
        <w:t xml:space="preserve">Parques, Andenes vías de servicio, Vías peatonales, Orejas de puente, Glorietas, Plazas/Plazoletas, Edificios institucionales.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s.wikipedia.org/wiki/Planta_ornamental" TargetMode="External"/><Relationship Id="rId7" Type="http://schemas.openxmlformats.org/officeDocument/2006/relationships/hyperlink" Target="https://es.wikipedia.org/wiki/Nueva_Zela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