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fldSimple w:instr=" SEQ Figura \* ARABIC ">
        <w:r w:rsidR="00341D59">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B4363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B4363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B4363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B4363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B4363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B4363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B4363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B4363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B43630"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B43630"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B4363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B4363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B4363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fldSimple w:instr=" SEQ Figura \* ARABIC ">
        <w:r w:rsidR="00341D59">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B4363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B4363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B4363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fldSimple w:instr=" SEQ Figura \* ARABIC ">
        <w:r w:rsidR="00341D59">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B4363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B4363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B4363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fldSimple w:instr=" SEQ Figura \* ARABIC ">
        <w:r w:rsidR="00341D59">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B4363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B4363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B4363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B4363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fldSimple w:instr=" SEQ Figura \* ARABIC ">
        <w:r w:rsidR="00341D59">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B4363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B4363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B4363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B4363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B4363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B4363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B4363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fldSimple w:instr=" SEQ Figura \* ARABIC ">
        <w:r w:rsidR="00341D59">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B4363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fldSimple w:instr=" SEQ Figura \* ARABIC ">
        <w:r w:rsidR="00341D59">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B4363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B4363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B4363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B4363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B4363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B4363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B4363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B4363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B4363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B4363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B43630"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B4363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fldSimple w:instr=" SEQ Figura \* ARABIC ">
        <w:r w:rsidR="00341D59">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B4363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B43630"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B4363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B43630"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fldSimple w:instr=" SEQ Figura \* ARABIC ">
        <w:r w:rsidR="00341D59">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B4363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B4363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B43630"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B43630"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B4363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B4363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fldSimple w:instr=" SEQ Figura \* ARABIC ">
        <w:r w:rsidR="00341D59">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B4363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fldSimple w:instr=" SEQ Figura \* ARABIC ">
        <w:r w:rsidR="00341D59">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B4363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B4363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B4363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B43630"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29CAD51"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B43630"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B43630"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B4363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B4363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B43630"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B43630"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B43630"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B43630"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B43630"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B43630"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B43630"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B4363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B4363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B4363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B4363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B4363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B4363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B4363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fldSimple w:instr=" SEQ Figura \* ARABIC ">
        <w:r w:rsidR="00341D59">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B4363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B4363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B4363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fldSimple w:instr=" SEQ Figura \* ARABIC ">
        <w:r w:rsidR="00341D59">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6AAC45A9"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B4363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B4363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B43630"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04A87381" w:rsidR="00D62621" w:rsidRPr="006D5D83" w:rsidRDefault="006112F5"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B4363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B4363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B4363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B4363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B4363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B4363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B4363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9864FE7" w:rsidR="004307FD" w:rsidRPr="002513C2" w:rsidRDefault="00BE6850" w:rsidP="004307FD">
      <w:pPr>
        <w:spacing w:before="120" w:after="100" w:afterAutospacing="1"/>
        <w:jc w:val="both"/>
        <w:rPr>
          <w:rFonts w:eastAsiaTheme="minorEastAsia"/>
        </w:rPr>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 xml:space="preserve">Análisis de </w:t>
      </w:r>
      <w:r>
        <w:rPr>
          <w:rFonts w:ascii="Cambria" w:hAnsi="Cambria"/>
          <w:b/>
          <w:bCs/>
          <w:sz w:val="32"/>
          <w:szCs w:val="32"/>
        </w:rPr>
        <w:t>controlabilidad</w:t>
      </w:r>
      <w:r>
        <w:rPr>
          <w:rFonts w:ascii="Cambria" w:hAnsi="Cambria"/>
          <w:b/>
          <w:bCs/>
          <w:sz w:val="32"/>
          <w:szCs w:val="32"/>
        </w:rPr>
        <w:t xml:space="preserve"> completa de estado para el modelo LTI aumentado equivalente</w:t>
      </w:r>
    </w:p>
    <w:p w14:paraId="578998F0" w14:textId="185EC723" w:rsidR="004307FD" w:rsidRDefault="001D5B3E" w:rsidP="002513C2">
      <w:pPr>
        <w:spacing w:before="120" w:after="100" w:afterAutospacing="1"/>
        <w:jc w:val="both"/>
      </w:pPr>
      <w:r>
        <w:t>Para analizar la controlabilidad del sistema, se emplea el criterio de Kalman: un sistema LTI de orden n es completamente controlable si el rango de la matriz de controlabilidad C es n. Es decir, existe una ley de control que permite ubicar todos los polos del sistema a lazo cerrado a voluntad.</w:t>
      </w:r>
    </w:p>
    <w:p w14:paraId="070A4AD5" w14:textId="652884EF" w:rsidR="009E6CD3" w:rsidRPr="002513C2" w:rsidRDefault="009E6CD3" w:rsidP="009E6CD3">
      <w:pPr>
        <w:spacing w:before="100" w:beforeAutospacing="1" w:after="0" w:line="240" w:lineRule="auto"/>
        <w:jc w:val="both"/>
      </w:pPr>
      <w:r w:rsidRPr="007C6C4D">
        <w:t xml:space="preserve">La matriz de </w:t>
      </w:r>
      <w:r>
        <w:t>controlabilidad</w:t>
      </w:r>
      <w:r w:rsidRPr="007C6C4D">
        <w:t xml:space="preserve"> se construye como:</w:t>
      </w:r>
    </w:p>
    <w:p w14:paraId="08FAD970" w14:textId="77777777" w:rsidR="009E6CD3" w:rsidRDefault="009E6CD3" w:rsidP="009E6CD3">
      <w:pPr>
        <w:spacing w:before="120" w:after="100" w:afterAutospacing="1"/>
        <w:jc w:val="both"/>
        <w:rPr>
          <w:rFonts w:eastAsiaTheme="minorEastAsia"/>
          <w:iCs/>
        </w:rPr>
      </w:pPr>
    </w:p>
    <w:p w14:paraId="53381005" w14:textId="4C8798B9" w:rsidR="009E6CD3" w:rsidRDefault="009E6CD3" w:rsidP="009E6CD3">
      <w:pPr>
        <w:spacing w:before="120" w:after="100" w:afterAutospacing="1"/>
        <w:jc w:val="both"/>
        <w:rPr>
          <w:rFonts w:eastAsiaTheme="minorEastAsia"/>
          <w:iCs/>
        </w:rPr>
      </w:pPr>
      <m:oMathPara>
        <m:oMath>
          <m:r>
            <w:rPr>
              <w:rFonts w:ascii="Cambria Math" w:hAnsi="Cambria Math"/>
            </w:rPr>
            <m:t>C</m:t>
          </m:r>
          <m:r>
            <w:rPr>
              <w:rFonts w:ascii="Cambria Math" w:hAnsi="Cambria Math"/>
            </w:rPr>
            <m:t>=</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34341147" w14:textId="77777777" w:rsidR="009E6CD3" w:rsidRDefault="009E6CD3" w:rsidP="002513C2">
      <w:pPr>
        <w:spacing w:before="120" w:after="100" w:afterAutospacing="1"/>
        <w:jc w:val="both"/>
      </w:pPr>
    </w:p>
    <w:p w14:paraId="224DD44B" w14:textId="7E45B38B" w:rsidR="009E6CD3" w:rsidRDefault="009E6CD3" w:rsidP="002513C2">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p>
    <w:p w14:paraId="6580449E" w14:textId="7DBFE86D" w:rsidR="009E6CD3" w:rsidRDefault="009E6CD3" w:rsidP="002513C2">
      <w:pPr>
        <w:spacing w:before="120" w:after="100" w:afterAutospacing="1"/>
        <w:jc w:val="both"/>
      </w:pPr>
    </w:p>
    <w:p w14:paraId="46449F00" w14:textId="51949126" w:rsidR="00802653" w:rsidRDefault="00802653" w:rsidP="002513C2">
      <w:pPr>
        <w:spacing w:before="120" w:after="100" w:afterAutospacing="1"/>
        <w:jc w:val="both"/>
      </w:pPr>
    </w:p>
    <w:p w14:paraId="66A447F3" w14:textId="77777777" w:rsidR="00802653" w:rsidRPr="009E6CD3" w:rsidRDefault="00802653" w:rsidP="00802653">
      <w:pPr>
        <w:spacing w:before="120"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xml:space="preserve">,  </m:t>
          </m:r>
          <m:r>
            <w:rPr>
              <w:rFonts w:ascii="Cambria Math" w:hAnsi="Cambria Math"/>
            </w:rPr>
            <m:t>B</m:t>
          </m:r>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6F0275">
      <w:pPr>
        <w:spacing w:before="120" w:after="100" w:afterAutospacing="1"/>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w:t>
      </w:r>
      <w:r w:rsidR="006F0275">
        <w:t>se simplifica a:</w:t>
      </w:r>
    </w:p>
    <w:p w14:paraId="12947871" w14:textId="1D71B1A7" w:rsidR="009E6CD3" w:rsidRPr="00802653" w:rsidRDefault="00802653" w:rsidP="006F0275">
      <w:pPr>
        <w:spacing w:before="120" w:after="100" w:afterAutospacing="1"/>
        <w:jc w:val="both"/>
        <w:rPr>
          <w:rFonts w:eastAsiaTheme="minorEastAsia"/>
          <w:iCs/>
        </w:rPr>
      </w:pPr>
      <m:oMathPara>
        <m:oMath>
          <m:r>
            <w:rPr>
              <w:rFonts w:ascii="Cambria Math" w:hAnsi="Cambria Math"/>
            </w:rPr>
            <m:t>B</m:t>
          </m:r>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802653">
      <w:pPr>
        <w:spacing w:before="120" w:after="100" w:afterAutospacing="1"/>
        <w:rPr>
          <w:rFonts w:eastAsiaTheme="minorEastAsia"/>
          <w:iCs/>
        </w:rPr>
      </w:pPr>
      <w:r>
        <w:t>De esta forma la matriz de controlabilidad es:</w:t>
      </w:r>
    </w:p>
    <w:p w14:paraId="4EC30DB5" w14:textId="531D8C4A" w:rsidR="00802653" w:rsidRPr="00562F4D" w:rsidRDefault="00802653" w:rsidP="00802653">
      <w:pPr>
        <w:spacing w:before="120" w:after="100" w:afterAutospacing="1"/>
        <w:rPr>
          <w:rFonts w:eastAsiaTheme="minorEastAsia"/>
          <w:iCs/>
        </w:rPr>
      </w:pPr>
      <m:oMathPara>
        <m:oMath>
          <m:r>
            <w:rPr>
              <w:rFonts w:ascii="Cambria Math" w:hAnsi="Cambria Math"/>
            </w:rPr>
            <m:t>C</m:t>
          </m:r>
          <m:r>
            <w:rPr>
              <w:rFonts w:ascii="Cambria Math" w:hAnsi="Cambria Math"/>
            </w:rPr>
            <m:t xml:space="preserve">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m:t>
                            </m:r>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m:t>
                                    </m:r>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1A0D9B5C" w:rsidR="00562F4D" w:rsidRDefault="00562F4D" w:rsidP="00802653">
      <w:pPr>
        <w:spacing w:before="120" w:after="100" w:afterAutospacing="1"/>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oMath>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3F5590">
      <w:pPr>
        <w:pStyle w:val="font-claude-response-body"/>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40F2220D" w:rsidR="003F5590" w:rsidRPr="003F5590" w:rsidRDefault="003F5590" w:rsidP="003F5590">
      <w:pPr>
        <w:pStyle w:val="whitespace-normal"/>
        <w:numPr>
          <w:ilvl w:val="0"/>
          <w:numId w:val="30"/>
        </w:numPr>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ds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 xml:space="preserve">(Ec.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m:t>
            </m:r>
            <m:r>
              <w:rPr>
                <w:rStyle w:val="Textodelmarcadordeposicin"/>
                <w:rFonts w:ascii="Cambria Math" w:hAnsi="Cambria Math"/>
                <w:color w:val="auto"/>
              </w:rPr>
              <m:t>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74417652" w14:textId="002FBA82" w:rsidR="003F5590" w:rsidRPr="003F5590" w:rsidRDefault="003F5590" w:rsidP="003F5590">
      <w:pPr>
        <w:pStyle w:val="whitespace-normal"/>
        <w:numPr>
          <w:ilvl w:val="0"/>
          <w:numId w:val="30"/>
        </w:numPr>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oMath>
      <w:r w:rsidRPr="003F5590">
        <w:rPr>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 xml:space="preserve">(Ec.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m:t>
            </m:r>
            <m:r>
              <w:rPr>
                <w:rFonts w:ascii="Cambria Math" w:hAnsi="Cambria Math"/>
              </w:rPr>
              <m:t>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 xml:space="preserve">no puede forzar </w:t>
      </w:r>
      <w:r w:rsidRPr="003F5590">
        <w:rPr>
          <w:rStyle w:val="Textoennegrita"/>
          <w:rFonts w:asciiTheme="minorHAnsi" w:hAnsiTheme="minorHAnsi" w:cstheme="minorHAnsi"/>
          <w:b w:val="0"/>
          <w:bCs w:val="0"/>
          <w:sz w:val="22"/>
          <w:szCs w:val="22"/>
          <w:lang w:val="es-ES"/>
        </w:rPr>
        <w:t>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1819BB86" w14:textId="77777777" w:rsidR="003F5590" w:rsidRDefault="003F5590" w:rsidP="00802653">
      <w:pPr>
        <w:spacing w:before="120" w:after="100" w:afterAutospacing="1"/>
      </w:pPr>
    </w:p>
    <w:sectPr w:rsidR="003F5590" w:rsidSect="009566B4">
      <w:headerReference w:type="default" r:id="rId25"/>
      <w:footerReference w:type="default" r:id="rId26"/>
      <w:headerReference w:type="first" r:id="rId27"/>
      <w:footerReference w:type="first" r:id="rId2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0E0E2" w14:textId="77777777" w:rsidR="00B43630" w:rsidRDefault="00B43630" w:rsidP="003E708E">
      <w:pPr>
        <w:spacing w:after="0" w:line="240" w:lineRule="auto"/>
      </w:pPr>
      <w:r>
        <w:separator/>
      </w:r>
    </w:p>
  </w:endnote>
  <w:endnote w:type="continuationSeparator" w:id="0">
    <w:p w14:paraId="3DE83250" w14:textId="77777777" w:rsidR="00B43630" w:rsidRDefault="00B4363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168AAD" w14:textId="77777777" w:rsidR="00B43630" w:rsidRDefault="00B43630" w:rsidP="003E708E">
      <w:pPr>
        <w:spacing w:after="0" w:line="240" w:lineRule="auto"/>
      </w:pPr>
      <w:r>
        <w:separator/>
      </w:r>
    </w:p>
  </w:footnote>
  <w:footnote w:type="continuationSeparator" w:id="0">
    <w:p w14:paraId="5F52E65B" w14:textId="77777777" w:rsidR="00B43630" w:rsidRDefault="00B4363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proofErr w:type="spellStart"/>
    <w:r w:rsidRPr="006318E5">
      <w:rPr>
        <w:sz w:val="16"/>
        <w:szCs w:val="16"/>
      </w:rPr>
      <w:t>UNCuyo</w:t>
    </w:r>
    <w:proofErr w:type="spellEnd"/>
    <w:r w:rsidRPr="006318E5">
      <w:rPr>
        <w:sz w:val="16"/>
        <w:szCs w:val="16"/>
      </w:rPr>
      <w:t xml:space="preserve">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29" w15:restartNumberingAfterBreak="0">
    <w:nsid w:val="7E415FEE"/>
    <w:multiLevelType w:val="multilevel"/>
    <w:tmpl w:val="D95E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282E"/>
    <w:rsid w:val="00754D8F"/>
    <w:rsid w:val="00760FA9"/>
    <w:rsid w:val="007611D1"/>
    <w:rsid w:val="00761355"/>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E6CD3"/>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30</Pages>
  <Words>9148</Words>
  <Characters>52150</Characters>
  <Application>Microsoft Office Word</Application>
  <DocSecurity>0</DocSecurity>
  <Lines>434</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19</cp:revision>
  <cp:lastPrinted>2026-02-26T19:46:00Z</cp:lastPrinted>
  <dcterms:created xsi:type="dcterms:W3CDTF">2026-02-26T19:47:00Z</dcterms:created>
  <dcterms:modified xsi:type="dcterms:W3CDTF">2026-02-27T19:03:00Z</dcterms:modified>
</cp:coreProperties>
</file>