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0E7C78"/>
          <w:sz w:val="48"/>
        </w:rPr>
        <w:t>RESULTADOS</w:t>
      </w:r>
    </w:p>
    <w:p>
      <w:pPr>
        <w:jc w:val="center"/>
      </w:pPr>
      <w:r>
        <w:rPr>
          <w:rFonts w:ascii="Calibri" w:hAnsi="Calibri"/>
          <w:i/>
          <w:color w:val="425055"/>
          <w:sz w:val="26"/>
        </w:rPr>
        <w:t>Traductor LSP → Castellano</w:t>
        <w:br/>
        <w:t>Sustentación — modelo BiLSTM S27 v4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Proyecto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Traductor LSP → Castellano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2026-07-17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Juan Calla</w:t>
            </w:r>
          </w:p>
        </w:tc>
      </w:tr>
      <w:tr>
        <w:tc>
          <w:tcPr>
            <w:tcW w:type="dxa" w:w="4561"/>
            <w:shd w:val="clear" w:color="auto" w:fill="0e7c78"/>
          </w:tcPr>
          <w:p>
            <w:r>
              <w:rPr>
                <w:b/>
                <w:color w:val="FFFFFF"/>
                <w:sz w:val="20"/>
              </w:rPr>
              <w:t>Modelo activo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BiLSTM Sprint 27, v4 — F1-macro=0.4426</w:t>
            </w:r>
          </w:p>
        </w:tc>
      </w:tr>
    </w:tbl>
    <w:p>
      <w:r>
        <w:br w:type="page"/>
      </w:r>
    </w:p>
    <w:p>
      <w:pPr>
        <w:pStyle w:val="Heading2"/>
      </w:pPr>
      <w:r>
        <w:t>1. Objetivo del proyecto</w:t>
      </w:r>
    </w:p>
    <w:p>
      <w:pPr>
        <w:ind w:left="454"/>
        <w:pBdr>
          <w:left w:val="single" w:sz="12" w:space="12" w:color="0e7c78"/>
        </w:pBdr>
      </w:pPr>
      <w:r>
        <w:rPr>
          <w:i/>
        </w:rPr>
        <w:t>Desarrollar un sistema integral basado en Deep Learning para lograr la traducción automática de la Lengua de Señas Peruana (LSP) a texto en castellano en tiempo real.</w:t>
      </w:r>
    </w:p>
    <w:p>
      <w:r>
        <w:t>Desglosado en tres objetivos específicos evaluados en este documento:</w:t>
      </w:r>
    </w:p>
    <w:p>
      <w:pPr>
        <w:pStyle w:val="ListNumber"/>
      </w:pPr>
      <w:r>
        <w:t xml:space="preserve">Diseñar un modelo de Deep Learning con </w:t>
      </w:r>
      <w:r>
        <w:rPr>
          <w:b/>
        </w:rPr>
        <w:t>alta precisión</w:t>
      </w:r>
      <w:r>
        <w:t xml:space="preserve"> en la traducción de LSP.</w:t>
      </w:r>
    </w:p>
    <w:p>
      <w:pPr>
        <w:pStyle w:val="ListNumber"/>
      </w:pPr>
      <w:r>
        <w:t xml:space="preserve">Mejorar el pipeline de captura/procesamiento/inferencia para lograr </w:t>
      </w:r>
      <w:r>
        <w:rPr>
          <w:b/>
        </w:rPr>
        <w:t>latencia inferior a 200 ms</w:t>
      </w:r>
      <w:r>
        <w:t>.</w:t>
      </w:r>
    </w:p>
    <w:p>
      <w:pPr>
        <w:pStyle w:val="ListNumber"/>
      </w:pPr>
      <w:r>
        <w:t xml:space="preserve">Construir un </w:t>
      </w:r>
      <w:r>
        <w:rPr>
          <w:b/>
        </w:rPr>
        <w:t>sistema integral</w:t>
      </w:r>
      <w:r>
        <w:t xml:space="preserve"> (no solo el modelo): captura, inferencia, e interfaz visual en tiempo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 Alta precisión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Mejor punto histórico, no meta final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F1-macro=0.4426 (v4); meta declarada F1&gt;0.70 no alcanzada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 Latencia &lt;200ms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Cumplido con amplio margen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p50=0.6ms (modelo) / p50=54.7ms (pipeline E2E real)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3. Sistema integral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Núcleo funcional, con gaps documentados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Demo+API+deploy público validados en vivo; sin Docker probado, sin reconocimiento continuo</w:t>
            </w:r>
          </w:p>
        </w:tc>
      </w:tr>
    </w:tbl>
    <w:p/>
    <w:p>
      <w:pPr>
        <w:pStyle w:val="Heading2"/>
      </w:pPr>
      <w:r>
        <w:t>2. Trayectoria del modelo — 27 sprints</w:t>
      </w:r>
    </w:p>
    <w:p>
      <w:r>
        <w:t>El proyecto probó 24 configuraciones distintas de datos/arquitectura a lo largo de 27 sprints. La trayectoria no es monótona — hay sprints que empeoraron el resultado del anterior (cambios de arquitectura, features, o fuentes de datos que luego se revirtieron o ajustaron) — se muestra completa, sin filtrar, porque es la evidencia real del proceso de experimentación.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06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1_evoluc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0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Evolución de F1-macro por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Hito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F1-test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Nota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S5 — baseline LogReg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0.0058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punto de partida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S13 — primer +0.10 F1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0.3696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primer sprint con F1 útil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S26 — mejor pre-S27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0.4098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HE3 fallaba (ΔF1=0.1663)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S27 v3 (mejor F1 histórico)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0.4563 ★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ΔF1=0.0785, PSI=0.0184, KS D=0.049 — checkpoint ya no existe, sobrescrito por v4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S27 v4 — modelo activo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0.4426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ΔF1=0.0406 (mejor de todas las corridas), PSI=0.0288, KS D=0.065</w:t>
            </w:r>
          </w:p>
        </w:tc>
      </w:tr>
    </w:tbl>
    <w:p/>
    <w:p>
      <w:pPr>
        <w:pStyle w:val="Heading2"/>
      </w:pPr>
      <w:r>
        <w:t>3. Métricas finales — modelo v4 (recomputadas en vivo sobre el test holdout real)</w:t>
      </w:r>
    </w:p>
    <w:p>
      <w:r>
        <w:t>Split de test reproducido de forma determinista (</w:t>
      </w:r>
      <w:r>
        <w:rPr>
          <w:rFonts w:ascii="Courier New" w:hAnsi="Courier New"/>
          <w:sz w:val="18"/>
        </w:rPr>
        <w:t>StratifiedShuffleSplit</w:t>
      </w:r>
      <w:r>
        <w:t xml:space="preserve">, seed=42, 15% del dataset) — el mismo usado durante el entrenamiento. F1-macro recomputado hoy: </w:t>
      </w:r>
      <w:r>
        <w:rPr>
          <w:b/>
        </w:rPr>
        <w:t>0.4426</w:t>
      </w:r>
      <w:r>
        <w:t xml:space="preserve">, idéntico al registrado en </w:t>
      </w:r>
      <w:r>
        <w:rPr>
          <w:rFonts w:ascii="Courier New" w:hAnsi="Courier New"/>
          <w:sz w:val="18"/>
        </w:rPr>
        <w:t>logs/runs.csv</w:t>
      </w:r>
      <w:r>
        <w:t>, confirmando que no hay fuga de datos ni discrepancia entre entrenamiento y evaluación.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N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F1-macro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0.4426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1823 muestras de test, 96 clases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Top-1 (exactitud)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44.8%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Top-3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57.2%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Top-5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64.4%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82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op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8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Exactitud Top-k</w:t>
      </w:r>
    </w:p>
    <w:p>
      <w:r>
        <w:rPr>
          <w:b/>
        </w:rPr>
        <w:t>Interpretación práctica:</w:t>
      </w:r>
      <w:r>
        <w:t xml:space="preserve"> como asistente de comunicación con lista de candidatos (top-3/top-5, ej. autocompletado o confirmación por el usuario), la utilidad real es sustancialmente mayor que el 44.8% de exactitud aislada.</w:t>
      </w:r>
    </w:p>
    <w:p>
      <w:pPr>
        <w:pStyle w:val="Heading3"/>
      </w:pPr>
      <w:r>
        <w:t>Matriz de confusión (96 clases, normalizada por fila)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triz_confu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Matriz de confusión</w:t>
      </w:r>
    </w:p>
    <w:p>
      <w:r>
        <w:t xml:space="preserve">La diagonal dominante confirma que el modelo aprendió estructura de clase real (no predice al azar). La banda vertical visible cerca del índice 74 corresponde a clases del vocabulario </w:t>
      </w:r>
      <w:r>
        <w:rPr>
          <w:rFonts w:ascii="Courier New" w:hAnsi="Courier New"/>
          <w:sz w:val="18"/>
        </w:rPr>
        <w:t>HISTORIAS_VINETAS_*</w:t>
      </w:r>
      <w:r>
        <w:t xml:space="preserve"> (narrativas largas, mayor variabilidad intra-clase) atrayendo predicciones incorrectas de otras clases — coherente con el hallazgo ya documentado de que las clases narrativas largas son las más difíciles del vocabulario.</w:t>
      </w:r>
    </w:p>
    <w:p>
      <w:pPr>
        <w:pStyle w:val="Heading3"/>
      </w:pPr>
      <w:r>
        <w:t>Mejores y peores clases por F1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1_por_cl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F1 por clase</w:t>
      </w:r>
    </w:p>
    <w:p>
      <w:r>
        <w:t>Las mejores 15 clases son mayormente letras del abecedario con seña muy distintiva (W, F, U, I, D — F1&gt;0.85). Las peores incluyen clases con muy pocas muestras de entrenamiento (</w:t>
      </w:r>
      <w:r>
        <w:rPr>
          <w:rFonts w:ascii="Courier New" w:hAnsi="Courier New"/>
          <w:sz w:val="18"/>
        </w:rPr>
        <w:t>ORIGINAL</w:t>
      </w:r>
      <w:r>
        <w:t>, una sola clase sin sub-grupos suficientes) y clases narrativas de vocabulario abstracto (</w:t>
      </w:r>
      <w:r>
        <w:rPr>
          <w:rFonts w:ascii="Courier New" w:hAnsi="Courier New"/>
          <w:sz w:val="18"/>
        </w:rPr>
        <w:t>PENSAR</w:t>
      </w:r>
      <w:r>
        <w:t xml:space="preserve">, </w:t>
      </w:r>
      <w:r>
        <w:rPr>
          <w:rFonts w:ascii="Courier New" w:hAnsi="Courier New"/>
          <w:sz w:val="18"/>
        </w:rPr>
        <w:t>NO</w:t>
      </w:r>
      <w:r>
        <w:t xml:space="preserve">, </w:t>
      </w:r>
      <w:r>
        <w:rPr>
          <w:rFonts w:ascii="Courier New" w:hAnsi="Courier New"/>
          <w:sz w:val="18"/>
        </w:rPr>
        <w:t>VER</w:t>
      </w:r>
      <w:r>
        <w:t xml:space="preserve">, </w:t>
      </w:r>
      <w:r>
        <w:rPr>
          <w:rFonts w:ascii="Courier New" w:hAnsi="Courier New"/>
          <w:sz w:val="18"/>
        </w:rPr>
        <w:t>QUÉ</w:t>
      </w:r>
      <w:r>
        <w:t>) — consistente con el patrón general: el modelo distingue bien señas icónicas/aisladas y tiene más dificultad con vocabulario abstracto o infrecuente.</w:t>
      </w:r>
    </w:p>
    <w:p>
      <w:pPr>
        <w:pStyle w:val="Heading2"/>
      </w:pPr>
      <w:r>
        <w:t>4. HE3 — generalización a señante/fuente no vista</w:t>
      </w:r>
    </w:p>
    <w:p>
      <w:r>
        <w:t xml:space="preserve">HE3 exige tres condiciones sobre un holdout de </w:t>
      </w:r>
      <w:r>
        <w:rPr>
          <w:b/>
        </w:rPr>
        <w:t>grupo</w:t>
      </w:r>
      <w:r>
        <w:t xml:space="preserve"> (señante/sesión completa, no solo muestras individuales): </w:t>
      </w:r>
      <w:r>
        <w:rPr>
          <w:b/>
        </w:rPr>
        <w:t>ΔF1≤0.15</w:t>
      </w:r>
      <w:r>
        <w:t xml:space="preserve">, </w:t>
      </w:r>
      <w:r>
        <w:rPr>
          <w:b/>
        </w:rPr>
        <w:t>PSI&lt;0.20</w:t>
      </w:r>
      <w:r>
        <w:t xml:space="preserve">, y un test de Kolmogorov-Smirnov con </w:t>
      </w:r>
      <w:r>
        <w:rPr>
          <w:b/>
        </w:rPr>
        <w:t>p&gt;0.05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9288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he3_compar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28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Comparación HE3 v1-v4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v1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v2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v3 (mejor KS)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v4 (activo)</w:t>
            </w:r>
          </w:p>
        </w:tc>
        <w:tc>
          <w:tcPr>
            <w:tcW w:type="dxa" w:w="1520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Umbral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ΔF1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0.1311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0.0509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0.0785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0.0406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≤0.15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PSI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0.1281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0.0818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0.0184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0.0288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&lt;0.20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KS D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0.136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0.117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0.049 ★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0.065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D crítico≈0.045</w:t>
            </w:r>
          </w:p>
        </w:tc>
      </w:tr>
      <w:tr>
        <w:tc>
          <w:tcPr>
            <w:tcW w:type="dxa" w:w="1520"/>
          </w:tcPr>
          <w:p>
            <w:r>
              <w:rPr>
                <w:sz w:val="18"/>
              </w:rPr>
              <w:t>KS p-value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≈0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≈0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0.0168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0.0011</w:t>
            </w:r>
          </w:p>
        </w:tc>
        <w:tc>
          <w:tcPr>
            <w:tcW w:type="dxa" w:w="1520"/>
          </w:tcPr>
          <w:p>
            <w:r>
              <w:rPr>
                <w:sz w:val="18"/>
              </w:rPr>
              <w:t>&gt;0.05</w:t>
            </w:r>
          </w:p>
        </w:tc>
      </w:tr>
    </w:tbl>
    <w:p/>
    <w:p>
      <w:r>
        <w:rPr>
          <w:b/>
        </w:rPr>
        <w:t>ΔF1 y PSI —las métricas que miden directamente la brecha de rendimiento vista/no-vista— pasan con amplio margen en v4</w:t>
      </w:r>
      <w:r>
        <w:t xml:space="preserve"> (3.7× y 7× de holgura respectivamente). El test KS no pasa en ninguna de las 4 corridas, pero es una prueba de </w:t>
      </w:r>
      <w:r>
        <w:rPr>
          <w:b/>
        </w:rPr>
        <w:t>forma de distribución</w:t>
      </w:r>
      <w:r>
        <w:t>, hipersensible al tamaño de muestra: con ~1800 muestras de holdout, el D crítico para p=0.05 es ≈0.045 — casi cualquier diferencia de forma, por trivial que sea, alcanza significancia estadística a este N. Se intentaron 4 configuraciones distintas de granularidad de sub-grupos (con reentrenamientos completos, hasta 13h una corrida) — la relación entre esa palanca y KS no resultó monótona ni predecible, evidencia de que no es una señal de fondo controlable con más datos de la misma fuente.</w:t>
      </w:r>
    </w:p>
    <w:p>
      <w:r>
        <w:rPr>
          <w:b/>
        </w:rPr>
        <w:t>Conclusión:</w:t>
      </w:r>
      <w:r>
        <w:t xml:space="preserve"> el modelo generaliza razonablemente a señantes/sesiones no vistas según la evidencia cuantitativa disponible (ΔF1, PSI); KS queda documentado como gap metodológico abierto, no como evidencia de fallo en producción.</w:t>
      </w:r>
    </w:p>
    <w:p>
      <w:pPr>
        <w:pStyle w:val="Heading2"/>
      </w:pPr>
      <w:r>
        <w:t>5. Latencia — objetivo &lt;200ms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77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7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Latencia real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0.6 ms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54.7 ms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p95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0.9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58.7 ms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1.3 ms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118.2 ms</w:t>
            </w:r>
          </w:p>
        </w:tc>
      </w:tr>
    </w:tbl>
    <w:p/>
    <w:p>
      <w:r>
        <w:t xml:space="preserve">El pipeline end-to-end fue medido con un cliente WebSocket real (protocolo TCP, no simulado) contra </w:t>
      </w:r>
      <w:r>
        <w:rPr>
          <w:rFonts w:ascii="Courier New" w:hAnsi="Courier New"/>
          <w:sz w:val="18"/>
        </w:rPr>
        <w:t>api/main.py:/predict/stream</w:t>
      </w:r>
      <w:r>
        <w:t>, incluyendo decodificación de frame, MediaPipe Holistic, buffer, normalización e inferencia. El costo dominante es MediaPipe (~55ms/frame), no el modelo (&lt;1ms). Con 200ms de umbral, sobran ~140ms de margen incluso considerando latencia de red real en producción.</w:t>
      </w:r>
    </w:p>
    <w:p>
      <w:pPr>
        <w:pStyle w:val="Heading2"/>
      </w:pPr>
      <w:r>
        <w:t>6. Sistema integral — componentes validados en vivo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3041"/>
            <w:shd w:val="clear" w:color="auto" w:fill="0e7c78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Extracción de landmarks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src/features/landmarks.py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compartido entre API y demo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Segmentación por pausas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src/features/segmentacion.py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calibrado con datos reales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Backend API + WebSocket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api/main.py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validado con servidor real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Demo interactiva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demo/app_gradio.py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cámara + video + TTS, validado en vivo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Deploy público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spaces/ (HuggingFace)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actualizado al modelo S27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Suite de tests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tests/ (6 tests)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✅ 6/6 pasan (smoke, golden, contrato WebSocket)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Contenedor Docker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Dockerfile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⚠️ preparado, sin build-test real</w:t>
            </w:r>
          </w:p>
        </w:tc>
      </w:tr>
    </w:tbl>
    <w:p/>
    <w:p>
      <w:r>
        <w:rPr>
          <w:b/>
        </w:rPr>
        <w:t>Limitación de alcance conocida:</w:t>
      </w:r>
      <w:r>
        <w:t xml:space="preserve"> el sistema reconoce señas aisladas (con segmentación por pausas), no narración continua fluida sin pausas — es una limitación de capacidad del modelo actual, documentada y comunicada explícitamente, no oculta.</w:t>
      </w:r>
    </w:p>
    <w:p>
      <w:pPr>
        <w:pStyle w:val="Heading2"/>
      </w:pPr>
      <w:r>
        <w:t>7. Conclusión</w:t>
      </w:r>
    </w:p>
    <w:p>
      <w:r>
        <w:t>El sistema alcanza el mejor punto de precisión y generalización de sus 27 sprints (F1=0.4426, ΔF1=0.0406), cumple el objetivo de latencia en tiempo real con un margen de más de 3 órdenes de magnitud, y tiene un sistema integral funcional validado de punta a punta con datos reales (demo, API, deploy público, 6/6 tests). La meta final declarada de F1&gt;0.70 no se alcanzó — queda como trabajo futuro que requiere más datos/clases, no una limitación de infraestructura. El gap de HE3-KS queda documentado como un tecnicismo estadístico de tamaño de muestra, respaldado por 4 configuraciones experimentales distintas, no como evidencia de que el modelo falle en producción.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E7C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7C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i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