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80"/>
        <w:jc w:val="center"/>
      </w:pPr>
      <w:r>
        <w:rPr>
          <w:rFonts w:ascii="Times New Roman" w:hAnsi="Times New Roman"/>
          <w:b/>
          <w:i w:val="0"/>
          <w:sz w:val="32"/>
        </w:rPr>
        <w:t>Universidad Nacional de Ingeniería</w:t>
      </w:r>
    </w:p>
    <w:p>
      <w:pPr>
        <w:spacing w:after="280"/>
        <w:jc w:val="center"/>
      </w:pPr>
      <w:r>
        <w:rPr>
          <w:rFonts w:ascii="Times New Roman" w:hAnsi="Times New Roman"/>
          <w:b/>
          <w:i w:val="0"/>
          <w:sz w:val="28"/>
        </w:rPr>
        <w:t>Escuela de Posgrado</w:t>
      </w:r>
    </w:p>
    <w:p>
      <w:pPr>
        <w:spacing w:after="800"/>
        <w:jc w:val="center"/>
      </w:pPr>
      <w:r>
        <w:rPr>
          <w:rFonts w:ascii="Times New Roman" w:hAnsi="Times New Roman"/>
          <w:b/>
          <w:i w:val="0"/>
          <w:sz w:val="28"/>
        </w:rPr>
        <w:t>Maestría en Inteligencia Artificial</w:t>
      </w:r>
    </w:p>
    <w:p>
      <w:pPr>
        <w:spacing w:after="600"/>
        <w:jc w:val="center"/>
      </w:pPr>
      <w:r>
        <w:rPr>
          <w:rFonts w:ascii="Times New Roman" w:hAnsi="Times New Roman"/>
          <w:b/>
          <w:i w:val="0"/>
          <w:sz w:val="26"/>
        </w:rPr>
        <w:t>Sistema Integral de Comunicación Inclusiva, Basado en Deep Learning, para la Traducción de Lengua de Señas Peruana a Texto Castellano</w:t>
      </w:r>
    </w:p>
    <w:p>
      <w:pPr>
        <w:spacing w:after="800"/>
        <w:jc w:val="center"/>
      </w:pPr>
      <w:r>
        <w:rPr>
          <w:rFonts w:ascii="Times New Roman" w:hAnsi="Times New Roman"/>
          <w:b w:val="0"/>
          <w:i w:val="0"/>
          <w:sz w:val="24"/>
        </w:rPr>
        <w:t>Tesis para optar el grado de Maestro en Inteligencia Artificial</w:t>
      </w:r>
    </w:p>
    <w:p>
      <w:pPr>
        <w:spacing w:after="80"/>
        <w:jc w:val="center"/>
      </w:pPr>
      <w:r>
        <w:rPr>
          <w:rFonts w:ascii="Times New Roman" w:hAnsi="Times New Roman"/>
          <w:b/>
          <w:i w:val="0"/>
          <w:sz w:val="24"/>
        </w:rPr>
        <w:t>Autor:</w:t>
      </w:r>
    </w:p>
    <w:p>
      <w:pPr>
        <w:spacing w:after="1200"/>
        <w:jc w:val="center"/>
      </w:pPr>
      <w:r>
        <w:rPr>
          <w:rFonts w:ascii="Times New Roman" w:hAnsi="Times New Roman"/>
          <w:b w:val="0"/>
          <w:i w:val="0"/>
          <w:sz w:val="24"/>
        </w:rPr>
        <w:t>Juan Pablo Calla Choquemamani</w:t>
      </w:r>
    </w:p>
    <w:p>
      <w:pPr>
        <w:spacing w:after="40"/>
        <w:jc w:val="center"/>
      </w:pPr>
      <w:r>
        <w:rPr>
          <w:rFonts w:ascii="Times New Roman" w:hAnsi="Times New Roman"/>
          <w:b w:val="0"/>
          <w:i w:val="0"/>
          <w:sz w:val="24"/>
        </w:rPr>
        <w:t>Lima, Perú</w:t>
      </w:r>
    </w:p>
    <w:p>
      <w:pPr>
        <w:spacing w:after="40"/>
        <w:jc w:val="center"/>
      </w:pPr>
      <w:r>
        <w:rPr>
          <w:rFonts w:ascii="Times New Roman" w:hAnsi="Times New Roman"/>
          <w:b w:val="0"/>
          <w:i w:val="0"/>
          <w:sz w:val="24"/>
        </w:rPr>
        <w:t>2026</w:t>
      </w:r>
    </w:p>
    <w:p>
      <w:r>
        <w:br w:type="page"/>
      </w:r>
    </w:p>
    <w:p>
      <w:pPr>
        <w:spacing w:after="400"/>
        <w:jc w:val="center"/>
      </w:pPr>
      <w:r>
        <w:rPr>
          <w:rFonts w:ascii="Times New Roman" w:hAnsi="Times New Roman"/>
          <w:b/>
          <w:i w:val="0"/>
          <w:sz w:val="28"/>
        </w:rPr>
        <w:t>Índice.</w:t>
      </w:r>
    </w:p>
    <w:p>
      <w:pPr>
        <w:tabs>
          <w:tab w:pos="8787" w:val="left"/>
        </w:tabs>
        <w:spacing w:after="60"/>
      </w:pPr>
      <w:r>
        <w:rPr>
          <w:rFonts w:ascii="Times New Roman" w:hAnsi="Times New Roman"/>
          <w:sz w:val="22"/>
        </w:rPr>
        <w:t>Índice</w:t>
        <w:tab/>
        <w:t>2</w:t>
      </w:r>
    </w:p>
    <w:p>
      <w:pPr>
        <w:tabs>
          <w:tab w:pos="8787" w:val="left"/>
        </w:tabs>
        <w:spacing w:after="60"/>
      </w:pPr>
      <w:r>
        <w:rPr>
          <w:rFonts w:ascii="Times New Roman" w:hAnsi="Times New Roman"/>
          <w:sz w:val="22"/>
        </w:rPr>
        <w:t>Resumen</w:t>
        <w:tab/>
        <w:t>5</w:t>
      </w:r>
    </w:p>
    <w:p>
      <w:pPr>
        <w:tabs>
          <w:tab w:pos="8787" w:val="left"/>
        </w:tabs>
        <w:spacing w:after="60"/>
      </w:pPr>
      <w:r>
        <w:rPr>
          <w:rFonts w:ascii="Times New Roman" w:hAnsi="Times New Roman"/>
          <w:sz w:val="22"/>
        </w:rPr>
        <w:t>Abstract</w:t>
        <w:tab/>
        <w:t>6</w:t>
      </w:r>
    </w:p>
    <w:p>
      <w:pPr>
        <w:tabs>
          <w:tab w:pos="8787" w:val="left"/>
        </w:tabs>
        <w:spacing w:after="60"/>
      </w:pPr>
      <w:r>
        <w:rPr>
          <w:rFonts w:ascii="Times New Roman" w:hAnsi="Times New Roman"/>
          <w:sz w:val="22"/>
        </w:rPr>
        <w:t>Introducción.</w:t>
        <w:tab/>
        <w:t>7</w:t>
      </w:r>
    </w:p>
    <w:p>
      <w:pPr>
        <w:tabs>
          <w:tab w:pos="8787" w:val="left"/>
        </w:tabs>
        <w:spacing w:after="60"/>
      </w:pPr>
      <w:r>
        <w:rPr>
          <w:rFonts w:ascii="Times New Roman" w:hAnsi="Times New Roman"/>
          <w:sz w:val="22"/>
        </w:rPr>
        <w:t>Capítulo I. Parte Introductoria del Trabajo</w:t>
        <w:tab/>
        <w:t>8</w:t>
      </w:r>
    </w:p>
    <w:p>
      <w:pPr>
        <w:tabs>
          <w:tab w:pos="8787" w:val="left"/>
        </w:tabs>
        <w:spacing w:after="60"/>
      </w:pPr>
      <w:r>
        <w:rPr>
          <w:rFonts w:ascii="Times New Roman" w:hAnsi="Times New Roman"/>
          <w:sz w:val="22"/>
        </w:rPr>
        <w:t>1.1 Generalidades</w:t>
        <w:tab/>
        <w:t>8</w:t>
      </w:r>
    </w:p>
    <w:p>
      <w:pPr>
        <w:tabs>
          <w:tab w:pos="8787" w:val="left"/>
        </w:tabs>
        <w:spacing w:after="60"/>
      </w:pPr>
      <w:r>
        <w:rPr>
          <w:rFonts w:ascii="Times New Roman" w:hAnsi="Times New Roman"/>
          <w:sz w:val="22"/>
        </w:rPr>
        <w:t>1.2 Descripción del Problema de Investigación</w:t>
        <w:tab/>
        <w:t>12</w:t>
      </w:r>
    </w:p>
    <w:p>
      <w:pPr>
        <w:tabs>
          <w:tab w:pos="8787" w:val="left"/>
        </w:tabs>
        <w:spacing w:after="60"/>
      </w:pPr>
      <w:r>
        <w:rPr>
          <w:rFonts w:ascii="Times New Roman" w:hAnsi="Times New Roman"/>
          <w:sz w:val="22"/>
        </w:rPr>
        <w:t>1.3 Objetivos del Estudio</w:t>
        <w:tab/>
        <w:t>13</w:t>
      </w:r>
    </w:p>
    <w:p>
      <w:pPr>
        <w:tabs>
          <w:tab w:pos="8787" w:val="left"/>
        </w:tabs>
        <w:spacing w:after="60"/>
      </w:pPr>
      <w:r>
        <w:rPr>
          <w:rFonts w:ascii="Times New Roman" w:hAnsi="Times New Roman"/>
          <w:sz w:val="22"/>
        </w:rPr>
        <w:t>1.3.1 Objetivo General</w:t>
        <w:tab/>
        <w:t>13</w:t>
      </w:r>
    </w:p>
    <w:p>
      <w:pPr>
        <w:tabs>
          <w:tab w:pos="8787" w:val="left"/>
        </w:tabs>
        <w:spacing w:after="60"/>
      </w:pPr>
      <w:r>
        <w:rPr>
          <w:rFonts w:ascii="Times New Roman" w:hAnsi="Times New Roman"/>
          <w:sz w:val="22"/>
        </w:rPr>
        <w:t>1.3.2 Objetivos Específicos</w:t>
        <w:tab/>
        <w:t>13</w:t>
      </w:r>
    </w:p>
    <w:p>
      <w:pPr>
        <w:tabs>
          <w:tab w:pos="8787" w:val="left"/>
        </w:tabs>
        <w:spacing w:after="60"/>
      </w:pPr>
      <w:r>
        <w:rPr>
          <w:rFonts w:ascii="Times New Roman" w:hAnsi="Times New Roman"/>
          <w:sz w:val="22"/>
        </w:rPr>
        <w:t>1.4 Hipótesis de la Investigación</w:t>
        <w:tab/>
        <w:t>14</w:t>
      </w:r>
    </w:p>
    <w:p>
      <w:pPr>
        <w:tabs>
          <w:tab w:pos="8787" w:val="left"/>
        </w:tabs>
        <w:spacing w:after="60"/>
      </w:pPr>
      <w:r>
        <w:rPr>
          <w:rFonts w:ascii="Times New Roman" w:hAnsi="Times New Roman"/>
          <w:sz w:val="22"/>
        </w:rPr>
        <w:t>1.4.1 Hipótesis General</w:t>
        <w:tab/>
        <w:t>14</w:t>
      </w:r>
    </w:p>
    <w:p>
      <w:pPr>
        <w:tabs>
          <w:tab w:pos="8787" w:val="left"/>
        </w:tabs>
        <w:spacing w:after="60"/>
      </w:pPr>
      <w:r>
        <w:rPr>
          <w:rFonts w:ascii="Times New Roman" w:hAnsi="Times New Roman"/>
          <w:sz w:val="22"/>
        </w:rPr>
        <w:t>1.4.2 Hipótesis Específicas</w:t>
        <w:tab/>
        <w:t>14</w:t>
      </w:r>
    </w:p>
    <w:p>
      <w:pPr>
        <w:tabs>
          <w:tab w:pos="8787" w:val="left"/>
        </w:tabs>
        <w:spacing w:after="60"/>
      </w:pPr>
      <w:r>
        <w:rPr>
          <w:rFonts w:ascii="Times New Roman" w:hAnsi="Times New Roman"/>
          <w:sz w:val="22"/>
        </w:rPr>
        <w:t>1.5 Antecedentes Investigativos</w:t>
        <w:tab/>
        <w:t>15</w:t>
      </w:r>
    </w:p>
    <w:p>
      <w:pPr>
        <w:tabs>
          <w:tab w:pos="8787" w:val="left"/>
        </w:tabs>
        <w:spacing w:after="60"/>
      </w:pPr>
      <w:r>
        <w:rPr>
          <w:rFonts w:ascii="Times New Roman" w:hAnsi="Times New Roman"/>
          <w:sz w:val="22"/>
        </w:rPr>
        <w:t>Antecedentes Internacionales</w:t>
        <w:tab/>
        <w:t>15</w:t>
      </w:r>
    </w:p>
    <w:p>
      <w:pPr>
        <w:tabs>
          <w:tab w:pos="8787" w:val="left"/>
        </w:tabs>
        <w:spacing w:after="60"/>
      </w:pPr>
      <w:r>
        <w:rPr>
          <w:rFonts w:ascii="Times New Roman" w:hAnsi="Times New Roman"/>
          <w:sz w:val="22"/>
        </w:rPr>
        <w:t>Antecedentes Nacionales</w:t>
        <w:tab/>
        <w:t>16</w:t>
      </w:r>
    </w:p>
    <w:p>
      <w:pPr>
        <w:tabs>
          <w:tab w:pos="8787" w:val="left"/>
        </w:tabs>
        <w:spacing w:after="60"/>
      </w:pPr>
      <w:r>
        <w:rPr>
          <w:rFonts w:ascii="Times New Roman" w:hAnsi="Times New Roman"/>
          <w:sz w:val="22"/>
        </w:rPr>
        <w:t>Capítulo II. Marco Teórico y Conceptual</w:t>
        <w:tab/>
        <w:t>17</w:t>
      </w:r>
    </w:p>
    <w:p>
      <w:pPr>
        <w:tabs>
          <w:tab w:pos="8787" w:val="left"/>
        </w:tabs>
        <w:spacing w:after="60"/>
      </w:pPr>
      <w:r>
        <w:rPr>
          <w:rFonts w:ascii="Times New Roman" w:hAnsi="Times New Roman"/>
          <w:sz w:val="22"/>
        </w:rPr>
        <w:t>2.1 Marco Teórico</w:t>
        <w:tab/>
        <w:t>17</w:t>
      </w:r>
    </w:p>
    <w:p>
      <w:pPr>
        <w:tabs>
          <w:tab w:pos="8787" w:val="left"/>
        </w:tabs>
        <w:spacing w:after="60"/>
      </w:pPr>
      <w:r>
        <w:rPr>
          <w:rFonts w:ascii="Times New Roman" w:hAnsi="Times New Roman"/>
          <w:sz w:val="22"/>
        </w:rPr>
        <w:t>2.1.1 Reconocimiento Automático de Lengua de Señas</w:t>
        <w:tab/>
        <w:t>17</w:t>
      </w:r>
    </w:p>
    <w:p>
      <w:pPr>
        <w:tabs>
          <w:tab w:pos="8787" w:val="left"/>
        </w:tabs>
        <w:spacing w:after="60"/>
      </w:pPr>
      <w:r>
        <w:rPr>
          <w:rFonts w:ascii="Times New Roman" w:hAnsi="Times New Roman"/>
          <w:sz w:val="22"/>
        </w:rPr>
        <w:t>2.1.2 Redes BiLSTM con Mecanismo de Atención</w:t>
        <w:tab/>
        <w:t>17</w:t>
      </w:r>
    </w:p>
    <w:p>
      <w:pPr>
        <w:tabs>
          <w:tab w:pos="8787" w:val="left"/>
        </w:tabs>
        <w:spacing w:after="60"/>
      </w:pPr>
      <w:r>
        <w:rPr>
          <w:rFonts w:ascii="Times New Roman" w:hAnsi="Times New Roman"/>
          <w:sz w:val="22"/>
        </w:rPr>
        <w:t>2.1.3 Estimación de Pose con MediaPipe Holistic</w:t>
        <w:tab/>
        <w:t>17</w:t>
      </w:r>
    </w:p>
    <w:p>
      <w:pPr>
        <w:tabs>
          <w:tab w:pos="8787" w:val="left"/>
        </w:tabs>
        <w:spacing w:after="60"/>
      </w:pPr>
      <w:r>
        <w:rPr>
          <w:rFonts w:ascii="Times New Roman" w:hAnsi="Times New Roman"/>
          <w:sz w:val="22"/>
        </w:rPr>
        <w:t>2.1.4 Inferencia Eficiente con ONNX Runtime</w:t>
        <w:tab/>
        <w:t>18</w:t>
      </w:r>
    </w:p>
    <w:p>
      <w:pPr>
        <w:tabs>
          <w:tab w:pos="8787" w:val="left"/>
        </w:tabs>
        <w:spacing w:after="60"/>
      </w:pPr>
      <w:r>
        <w:rPr>
          <w:rFonts w:ascii="Times New Roman" w:hAnsi="Times New Roman"/>
          <w:sz w:val="22"/>
        </w:rPr>
        <w:t>2.1.5 Generalización y Dataset Shift</w:t>
        <w:tab/>
        <w:t>18</w:t>
      </w:r>
    </w:p>
    <w:p>
      <w:pPr>
        <w:tabs>
          <w:tab w:pos="8787" w:val="left"/>
        </w:tabs>
        <w:spacing w:after="60"/>
      </w:pPr>
      <w:r>
        <w:rPr>
          <w:rFonts w:ascii="Times New Roman" w:hAnsi="Times New Roman"/>
          <w:sz w:val="22"/>
        </w:rPr>
        <w:t>2.2 Marco Conceptual</w:t>
        <w:tab/>
        <w:t>18</w:t>
      </w:r>
    </w:p>
    <w:p>
      <w:pPr>
        <w:tabs>
          <w:tab w:pos="8787" w:val="left"/>
        </w:tabs>
        <w:spacing w:after="60"/>
      </w:pPr>
      <w:r>
        <w:rPr>
          <w:rFonts w:ascii="Times New Roman" w:hAnsi="Times New Roman"/>
          <w:sz w:val="22"/>
        </w:rPr>
        <w:t>2.3 Estado del Arte por Objetivo Específico</w:t>
        <w:tab/>
        <w:t>19</w:t>
      </w:r>
    </w:p>
    <w:p>
      <w:pPr>
        <w:tabs>
          <w:tab w:pos="8787" w:val="left"/>
        </w:tabs>
        <w:spacing w:after="60"/>
      </w:pPr>
      <w:r>
        <w:rPr>
          <w:rFonts w:ascii="Times New Roman" w:hAnsi="Times New Roman"/>
          <w:sz w:val="22"/>
        </w:rPr>
        <w:t>Capítulo III. Desarrollo del Trabajo de Investigación</w:t>
        <w:tab/>
        <w:t>20</w:t>
      </w:r>
    </w:p>
    <w:p>
      <w:pPr>
        <w:tabs>
          <w:tab w:pos="8787" w:val="left"/>
        </w:tabs>
        <w:spacing w:after="60"/>
      </w:pPr>
      <w:r>
        <w:rPr>
          <w:rFonts w:ascii="Times New Roman" w:hAnsi="Times New Roman"/>
          <w:sz w:val="22"/>
        </w:rPr>
        <w:t>3.1 Diseño Metodológico</w:t>
        <w:tab/>
        <w:t>20</w:t>
      </w:r>
    </w:p>
    <w:p>
      <w:pPr>
        <w:tabs>
          <w:tab w:pos="8787" w:val="left"/>
        </w:tabs>
        <w:spacing w:after="60"/>
      </w:pPr>
      <w:r>
        <w:rPr>
          <w:rFonts w:ascii="Times New Roman" w:hAnsi="Times New Roman"/>
          <w:sz w:val="22"/>
        </w:rPr>
        <w:t>3.2 Corpus y Datos</w:t>
        <w:tab/>
        <w:t>20</w:t>
      </w:r>
    </w:p>
    <w:p>
      <w:pPr>
        <w:tabs>
          <w:tab w:pos="8787" w:val="left"/>
        </w:tabs>
        <w:spacing w:after="60"/>
      </w:pPr>
      <w:r>
        <w:rPr>
          <w:rFonts w:ascii="Times New Roman" w:hAnsi="Times New Roman"/>
          <w:sz w:val="22"/>
        </w:rPr>
        <w:t>3.3 Arquitectura del Sistema</w:t>
        <w:tab/>
        <w:t>21</w:t>
      </w:r>
    </w:p>
    <w:p>
      <w:pPr>
        <w:tabs>
          <w:tab w:pos="8787" w:val="left"/>
        </w:tabs>
        <w:spacing w:after="60"/>
      </w:pPr>
      <w:r>
        <w:rPr>
          <w:rFonts w:ascii="Times New Roman" w:hAnsi="Times New Roman"/>
          <w:sz w:val="22"/>
        </w:rPr>
        <w:t>3.4 Proceso de Entrenamiento y Trayectoria Experimental</w:t>
        <w:tab/>
        <w:t>23</w:t>
      </w:r>
    </w:p>
    <w:p>
      <w:pPr>
        <w:tabs>
          <w:tab w:pos="8787" w:val="left"/>
        </w:tabs>
        <w:spacing w:after="60"/>
      </w:pPr>
      <w:r>
        <w:rPr>
          <w:rFonts w:ascii="Times New Roman" w:hAnsi="Times New Roman"/>
          <w:sz w:val="22"/>
        </w:rPr>
        <w:t>3.5 Plan de Despliegue</w:t>
        <w:tab/>
        <w:t>25</w:t>
      </w:r>
    </w:p>
    <w:p>
      <w:pPr>
        <w:tabs>
          <w:tab w:pos="8787" w:val="left"/>
        </w:tabs>
        <w:spacing w:after="60"/>
      </w:pPr>
      <w:r>
        <w:rPr>
          <w:rFonts w:ascii="Times New Roman" w:hAnsi="Times New Roman"/>
          <w:sz w:val="22"/>
        </w:rPr>
        <w:t>3.5.1 Estado de los Componentes</w:t>
        <w:tab/>
        <w:t>25</w:t>
      </w:r>
    </w:p>
    <w:p>
      <w:pPr>
        <w:tabs>
          <w:tab w:pos="8787" w:val="left"/>
        </w:tabs>
        <w:spacing w:after="60"/>
      </w:pPr>
      <w:r>
        <w:rPr>
          <w:rFonts w:ascii="Times New Roman" w:hAnsi="Times New Roman"/>
          <w:sz w:val="22"/>
        </w:rPr>
        <w:t>3.5.2 Divergencia entre demo/ y api/</w:t>
        <w:tab/>
        <w:t>26</w:t>
      </w:r>
    </w:p>
    <w:p>
      <w:pPr>
        <w:tabs>
          <w:tab w:pos="8787" w:val="left"/>
        </w:tabs>
        <w:spacing w:after="60"/>
      </w:pPr>
      <w:r>
        <w:rPr>
          <w:rFonts w:ascii="Times New Roman" w:hAnsi="Times New Roman"/>
          <w:sz w:val="22"/>
        </w:rPr>
        <w:t>3.5.3 Contratos de la API</w:t>
        <w:tab/>
        <w:t>27</w:t>
      </w:r>
    </w:p>
    <w:p>
      <w:pPr>
        <w:tabs>
          <w:tab w:pos="8787" w:val="left"/>
        </w:tabs>
        <w:spacing w:after="60"/>
      </w:pPr>
      <w:r>
        <w:rPr>
          <w:rFonts w:ascii="Times New Roman" w:hAnsi="Times New Roman"/>
          <w:sz w:val="22"/>
        </w:rPr>
        <w:t>3.5.4 Riesgos Identificados y Mitigaciones</w:t>
        <w:tab/>
        <w:t>29</w:t>
      </w:r>
    </w:p>
    <w:p>
      <w:pPr>
        <w:tabs>
          <w:tab w:pos="8787" w:val="left"/>
        </w:tabs>
        <w:spacing w:after="60"/>
      </w:pPr>
      <w:r>
        <w:rPr>
          <w:rFonts w:ascii="Times New Roman" w:hAnsi="Times New Roman"/>
          <w:sz w:val="22"/>
        </w:rPr>
        <w:t>3.5.5 Hoja de Ruta a Producción</w:t>
        <w:tab/>
        <w:t>31</w:t>
      </w:r>
    </w:p>
    <w:p>
      <w:pPr>
        <w:tabs>
          <w:tab w:pos="8787" w:val="left"/>
        </w:tabs>
        <w:spacing w:after="60"/>
      </w:pPr>
      <w:r>
        <w:rPr>
          <w:rFonts w:ascii="Times New Roman" w:hAnsi="Times New Roman"/>
          <w:sz w:val="22"/>
        </w:rPr>
        <w:t>3.6 Reproducibilidad</w:t>
        <w:tab/>
        <w:t>32</w:t>
      </w:r>
    </w:p>
    <w:p>
      <w:pPr>
        <w:tabs>
          <w:tab w:pos="8787" w:val="left"/>
        </w:tabs>
        <w:spacing w:after="60"/>
      </w:pPr>
      <w:r>
        <w:rPr>
          <w:rFonts w:ascii="Times New Roman" w:hAnsi="Times New Roman"/>
          <w:sz w:val="22"/>
        </w:rPr>
        <w:t>Capítulo IV. Análisis y Discusión de Resultados</w:t>
        <w:tab/>
        <w:t>33</w:t>
      </w:r>
    </w:p>
    <w:p>
      <w:pPr>
        <w:tabs>
          <w:tab w:pos="8787" w:val="left"/>
        </w:tabs>
        <w:spacing w:after="60"/>
      </w:pPr>
      <w:r>
        <w:rPr>
          <w:rFonts w:ascii="Times New Roman" w:hAnsi="Times New Roman"/>
          <w:sz w:val="22"/>
        </w:rPr>
        <w:t>4.1 OE1 Precisión de Clasificación (Resultado Parcial)</w:t>
        <w:tab/>
        <w:t>33</w:t>
      </w:r>
    </w:p>
    <w:p>
      <w:pPr>
        <w:tabs>
          <w:tab w:pos="8787" w:val="left"/>
        </w:tabs>
        <w:spacing w:after="60"/>
      </w:pPr>
      <w:r>
        <w:rPr>
          <w:rFonts w:ascii="Times New Roman" w:hAnsi="Times New Roman"/>
          <w:sz w:val="22"/>
        </w:rPr>
        <w:t>4.2 OE2 Latencia del Pipeline en Tiempo Real</w:t>
        <w:tab/>
        <w:t>35</w:t>
      </w:r>
    </w:p>
    <w:p>
      <w:pPr>
        <w:tabs>
          <w:tab w:pos="8787" w:val="left"/>
        </w:tabs>
        <w:spacing w:after="60"/>
      </w:pPr>
      <w:r>
        <w:rPr>
          <w:rFonts w:ascii="Times New Roman" w:hAnsi="Times New Roman"/>
          <w:sz w:val="22"/>
        </w:rPr>
        <w:t>4.3 OE3 Generalización fuera de la Muestra</w:t>
        <w:tab/>
        <w:t>36</w:t>
      </w:r>
    </w:p>
    <w:p>
      <w:pPr>
        <w:tabs>
          <w:tab w:pos="8787" w:val="left"/>
        </w:tabs>
        <w:spacing w:after="60"/>
      </w:pPr>
      <w:r>
        <w:rPr>
          <w:rFonts w:ascii="Times New Roman" w:hAnsi="Times New Roman"/>
          <w:sz w:val="22"/>
        </w:rPr>
        <w:t>4.4 Hallazgo Adicional: Sesgo de Dominio en el Reconocimiento del Abecedario</w:t>
        <w:tab/>
        <w:t>38</w:t>
      </w:r>
    </w:p>
    <w:p>
      <w:pPr>
        <w:tabs>
          <w:tab w:pos="8787" w:val="left"/>
        </w:tabs>
        <w:spacing w:after="60"/>
      </w:pPr>
      <w:r>
        <w:rPr>
          <w:rFonts w:ascii="Times New Roman" w:hAnsi="Times New Roman"/>
          <w:sz w:val="22"/>
        </w:rPr>
        <w:t>4.5 Hallazgo Adicional: Traducción de Narración Continua</w:t>
        <w:tab/>
        <w:t>40</w:t>
      </w:r>
    </w:p>
    <w:p>
      <w:pPr>
        <w:tabs>
          <w:tab w:pos="8787" w:val="left"/>
        </w:tabs>
        <w:spacing w:after="60"/>
      </w:pPr>
      <w:r>
        <w:rPr>
          <w:rFonts w:ascii="Times New Roman" w:hAnsi="Times New Roman"/>
          <w:sz w:val="22"/>
        </w:rPr>
        <w:t>4.6 Discusión General</w:t>
        <w:tab/>
        <w:t>42</w:t>
      </w:r>
    </w:p>
    <w:p>
      <w:pPr>
        <w:tabs>
          <w:tab w:pos="8787" w:val="left"/>
        </w:tabs>
        <w:spacing w:after="60"/>
      </w:pPr>
      <w:r>
        <w:rPr>
          <w:rFonts w:ascii="Times New Roman" w:hAnsi="Times New Roman"/>
          <w:sz w:val="22"/>
        </w:rPr>
        <w:t>Conclusiones</w:t>
        <w:tab/>
        <w:t>44</w:t>
      </w:r>
    </w:p>
    <w:p>
      <w:pPr>
        <w:tabs>
          <w:tab w:pos="8787" w:val="left"/>
        </w:tabs>
        <w:spacing w:after="60"/>
      </w:pPr>
      <w:r>
        <w:rPr>
          <w:rFonts w:ascii="Times New Roman" w:hAnsi="Times New Roman"/>
          <w:sz w:val="22"/>
        </w:rPr>
        <w:t>Recomendaciones</w:t>
        <w:tab/>
        <w:t>45</w:t>
      </w:r>
    </w:p>
    <w:p>
      <w:pPr>
        <w:tabs>
          <w:tab w:pos="8787" w:val="left"/>
        </w:tabs>
        <w:spacing w:after="60"/>
      </w:pPr>
      <w:r>
        <w:rPr>
          <w:rFonts w:ascii="Times New Roman" w:hAnsi="Times New Roman"/>
          <w:sz w:val="22"/>
        </w:rPr>
        <w:t>Referencias Bibliográficas</w:t>
        <w:tab/>
        <w:t>46</w:t>
      </w:r>
    </w:p>
    <w:p>
      <w:pPr>
        <w:tabs>
          <w:tab w:pos="8787" w:val="left"/>
        </w:tabs>
        <w:spacing w:after="60"/>
      </w:pPr>
      <w:r>
        <w:rPr>
          <w:rFonts w:ascii="Times New Roman" w:hAnsi="Times New Roman"/>
          <w:sz w:val="22"/>
        </w:rPr>
        <w:t>Anexos</w:t>
        <w:tab/>
        <w:t>49</w:t>
      </w:r>
    </w:p>
    <w:p>
      <w:pPr>
        <w:tabs>
          <w:tab w:pos="8787" w:val="left"/>
        </w:tabs>
        <w:spacing w:after="60"/>
      </w:pPr>
      <w:r>
        <w:rPr>
          <w:rFonts w:ascii="Times New Roman" w:hAnsi="Times New Roman"/>
          <w:sz w:val="22"/>
        </w:rPr>
        <w:t>Anexo A. Matriz de Consistencia</w:t>
        <w:tab/>
        <w:t>49</w:t>
      </w:r>
    </w:p>
    <w:p>
      <w:pPr>
        <w:tabs>
          <w:tab w:pos="8787" w:val="left"/>
        </w:tabs>
        <w:spacing w:after="60"/>
      </w:pPr>
      <w:r>
        <w:rPr>
          <w:rFonts w:ascii="Times New Roman" w:hAnsi="Times New Roman"/>
          <w:sz w:val="22"/>
        </w:rPr>
        <w:t>Matriz de Operacionalización de Variables</w:t>
        <w:tab/>
        <w:t>50</w:t>
      </w:r>
    </w:p>
    <w:p>
      <w:pPr>
        <w:tabs>
          <w:tab w:pos="8787" w:val="left"/>
        </w:tabs>
        <w:spacing w:after="60"/>
      </w:pPr>
      <w:r>
        <w:rPr>
          <w:rFonts w:ascii="Times New Roman" w:hAnsi="Times New Roman"/>
          <w:sz w:val="22"/>
        </w:rPr>
        <w:t>Anexo B. Métricas Detalladas por Clase</w:t>
        <w:tab/>
        <w:t>51</w:t>
      </w:r>
    </w:p>
    <w:p>
      <w:pPr>
        <w:tabs>
          <w:tab w:pos="8787" w:val="left"/>
        </w:tabs>
        <w:spacing w:after="60"/>
      </w:pPr>
      <w:r>
        <w:rPr>
          <w:rFonts w:ascii="Times New Roman" w:hAnsi="Times New Roman"/>
          <w:sz w:val="22"/>
        </w:rPr>
        <w:t>Anexo C. Informe Completo de Resultados y Plan de Despliegue</w:t>
        <w:tab/>
        <w:t>52</w:t>
      </w:r>
    </w:p>
    <w:p>
      <w:pPr>
        <w:tabs>
          <w:tab w:pos="8787" w:val="left"/>
        </w:tabs>
        <w:spacing w:after="60"/>
      </w:pPr>
      <w:r>
        <w:rPr>
          <w:rFonts w:ascii="Times New Roman" w:hAnsi="Times New Roman"/>
          <w:sz w:val="22"/>
        </w:rPr>
        <w:t>Anexo D. Declaración de Limitaciones</w:t>
        <w:tab/>
        <w:t>52</w:t>
      </w:r>
    </w:p>
    <w:p>
      <w:r>
        <w:br w:type="page"/>
      </w:r>
    </w:p>
    <w:p>
      <w:pPr>
        <w:spacing w:after="320"/>
        <w:jc w:val="center"/>
      </w:pPr>
      <w:r>
        <w:rPr>
          <w:rFonts w:ascii="Times New Roman" w:hAnsi="Times New Roman"/>
          <w:b/>
          <w:i w:val="0"/>
          <w:sz w:val="28"/>
        </w:rPr>
        <w:t>Resumen</w:t>
      </w:r>
    </w:p>
    <w:p>
      <w:pPr>
        <w:spacing w:after="120"/>
        <w:ind w:firstLine="709"/>
      </w:pPr>
      <w:r>
        <w:rPr>
          <w:rFonts w:ascii="Times New Roman" w:hAnsi="Times New Roman"/>
          <w:b w:val="0"/>
          <w:i w:val="0"/>
          <w:sz w:val="24"/>
        </w:rPr>
        <w:t>El presente trabajo de investigación desarrolla un sistema integral de comunicación inclusiva basado en Deep Learning para la traducción automática de la Lengua de Señas Peruana (LSP) a texto castellano. El sistema integra extracción de puntos clave corporales mediante MediaPipe Holistic, clasificación temporal mediante una red neuronal recurrente bidireccional con memoria a corto-largo plazo (BiLSTM), e inferencia optimizada en formato ONNX, accesible a través de una interfaz web en tiempo real.</w:t>
      </w:r>
    </w:p>
    <w:p>
      <w:pPr>
        <w:spacing w:after="120"/>
        <w:ind w:firstLine="709"/>
      </w:pPr>
      <w:r>
        <w:rPr>
          <w:rFonts w:ascii="Times New Roman" w:hAnsi="Times New Roman"/>
          <w:b w:val="0"/>
          <w:i w:val="0"/>
          <w:sz w:val="24"/>
        </w:rPr>
        <w:t>El estudio adoptó un enfoque cuantitativo de tipo aplicado-experimental con diseño cuasiexperimental. El corpus utilizado comprende 4 176 muestras correspondientes a 96 clases del vocabulario LSP. Tras 27 sprints de experimentación con 24 configuraciones distintas, el modelo alcanzó un F1-macro de 0.4426 en el conjunto de prueba (Top-3: 57.2 %; Top-5: 64.4 %), cifra que representa el mejor punto histórico del proyecto, aunque no alcanza la meta declarada de F1 ≥ 0.70. En cuanto a la latencia, el pipeline extremo a extremo opera con una mediana de 54.7 ms (percentil 95: 58.7 ms), cumpliendo con amplio margen el umbral de 200 ms requerido para la comunicación en tiempo real. La capacidad de generalización a señantes no vistos durante el entrenamiento fue evaluada mediante ΔF1, Índice de Estabilidad Poblacional (PSI) y la prueba de Kolmogorov-Smirnov (KS): las métricas ΔF1 = 0.0406 y PSI = 0.0288 cumplen sus respectivos umbrales (≤ 0.15 y &lt; 0.20), mientras que el estadístico KS no supera el nivel de significancia de 0.05, situación atribuida a la hipersensibilidad del test ante el tamaño de muestra disponible.</w:t>
      </w:r>
    </w:p>
    <w:p>
      <w:pPr>
        <w:ind w:firstLine="709"/>
      </w:pPr>
      <w:r>
        <w:rPr>
          <w:rFonts w:ascii="Times New Roman" w:hAnsi="Times New Roman"/>
          <w:b/>
          <w:i w:val="0"/>
          <w:sz w:val="24"/>
        </w:rPr>
        <w:t xml:space="preserve">Palabras clave: </w:t>
      </w:r>
      <w:r>
        <w:rPr>
          <w:rFonts w:ascii="Times New Roman" w:hAnsi="Times New Roman"/>
          <w:b w:val="0"/>
          <w:i w:val="0"/>
          <w:sz w:val="24"/>
        </w:rPr>
        <w:t>lengua de señas peruana, Deep learning, BiLSTM, reconocimiento de señas, MediaPipe, traducción automática, comunicación inclusiva.</w:t>
      </w:r>
    </w:p>
    <w:p>
      <w:r>
        <w:br w:type="page"/>
      </w:r>
    </w:p>
    <w:p>
      <w:pPr>
        <w:spacing w:after="320"/>
        <w:jc w:val="center"/>
      </w:pPr>
      <w:r>
        <w:rPr>
          <w:rFonts w:ascii="Times New Roman" w:hAnsi="Times New Roman"/>
          <w:b/>
          <w:i w:val="0"/>
          <w:sz w:val="28"/>
        </w:rPr>
        <w:t>Abstract</w:t>
      </w:r>
    </w:p>
    <w:p>
      <w:pPr>
        <w:spacing w:after="120"/>
        <w:ind w:firstLine="709"/>
      </w:pPr>
      <w:r>
        <w:rPr>
          <w:rFonts w:ascii="Times New Roman" w:hAnsi="Times New Roman"/>
          <w:b w:val="0"/>
          <w:i w:val="0"/>
          <w:sz w:val="24"/>
        </w:rPr>
        <w:t>This research develops a comprehensive inclusive communication system based on Deep Learning for the automatic translation of Peruvian Sign Language (LSP) to Spanish text. The system integrates body keypoint extraction via MediaPipe Holistic, temporal classification through a bidirectional Long Short-Term Memory (BiLSTM) neural network, and ONNX-optimized inference accessible through a real-time web interface.</w:t>
      </w:r>
    </w:p>
    <w:p>
      <w:pPr>
        <w:spacing w:after="120"/>
        <w:ind w:firstLine="709"/>
      </w:pPr>
      <w:r>
        <w:rPr>
          <w:rFonts w:ascii="Times New Roman" w:hAnsi="Times New Roman"/>
          <w:b w:val="0"/>
          <w:i w:val="0"/>
          <w:sz w:val="24"/>
        </w:rPr>
        <w:t>The study adopted a quantitative, applied-experimental approach with a quasi-experimental design. The corpus comprises 4,176 samples across 96 LSP vocabulary classes. After 27 development sprints with 24 distinct configurations, the model achieved an F1-macro of 0.4426 on the test set (Top-3: 57.2%; Top-5: 64.4%), representing the best historical performance of the project, although the stated target of F1 ≥ 0.70 was not reached. Regarding latency, the end-to-end pipeline operates at a median of 54.7 ms (95th percentile: 58.7 ms), comfortably meeting the 200 ms threshold required for real-time communication. Generalization to unseen signers was assessed via ΔF1, Population Stability Index (PSI), and the Kolmogorov-Smirnov (KS) test: ΔF1 = 0.0406 and PSI = 0.0288 meet their respective thresholds (≤ 0.15 and &lt; 0.20), while the KS statistic does not reach the 0.05 significance level, a result attributed to the test's hypersensitivity at the available sample size.</w:t>
      </w:r>
    </w:p>
    <w:p>
      <w:pPr>
        <w:ind w:firstLine="709"/>
      </w:pPr>
      <w:r>
        <w:rPr>
          <w:rFonts w:ascii="Times New Roman" w:hAnsi="Times New Roman"/>
          <w:b/>
          <w:i w:val="0"/>
          <w:sz w:val="24"/>
        </w:rPr>
        <w:t xml:space="preserve">Keywords: </w:t>
      </w:r>
      <w:r>
        <w:rPr>
          <w:rFonts w:ascii="Times New Roman" w:hAnsi="Times New Roman"/>
          <w:b w:val="0"/>
          <w:i w:val="0"/>
          <w:sz w:val="24"/>
        </w:rPr>
        <w:t>Peruvian sign language, deep learning, BiLSTM, sign recognition, MediaPipe, automatic translation, inclusive communication.</w:t>
      </w:r>
    </w:p>
    <w:p>
      <w:r>
        <w:br w:type="page"/>
      </w:r>
    </w:p>
    <w:p>
      <w:pPr>
        <w:spacing w:after="320"/>
        <w:jc w:val="center"/>
      </w:pPr>
      <w:r>
        <w:rPr>
          <w:rFonts w:ascii="Times New Roman" w:hAnsi="Times New Roman"/>
          <w:b/>
          <w:i w:val="0"/>
          <w:sz w:val="28"/>
        </w:rPr>
        <w:t>Introducción.</w:t>
      </w:r>
    </w:p>
    <w:p>
      <w:pPr>
        <w:spacing w:after="120"/>
        <w:ind w:firstLine="709"/>
      </w:pPr>
      <w:r>
        <w:rPr>
          <w:rFonts w:ascii="Times New Roman" w:hAnsi="Times New Roman"/>
          <w:b w:val="0"/>
          <w:i w:val="0"/>
          <w:sz w:val="24"/>
        </w:rPr>
        <w:t>La comunicación es un derecho humano fundamental reconocido en la Convención sobre los Derechos de las Personas con Discapacidad de las Naciones Unidas (ONU, 2006). Las personas sordas que utilizan la Lengua de Señas Peruana (LSP) como primera lengua enfrentan barreras sistemáticas en sus interacciones con la comunidad oyente. El Instituto Nacional de Estadística e Informática (INEI, 2017) estima que aproximadamente 532 000 peruanos presentan dificultades auditivas significativas.</w:t>
      </w:r>
    </w:p>
    <w:p>
      <w:pPr>
        <w:spacing w:after="120"/>
        <w:ind w:firstLine="709"/>
      </w:pPr>
      <w:r>
        <w:rPr>
          <w:rFonts w:ascii="Times New Roman" w:hAnsi="Times New Roman"/>
          <w:b w:val="0"/>
          <w:i w:val="0"/>
          <w:sz w:val="24"/>
        </w:rPr>
        <w:t>Los avances en aprendizaje profundo particularmente en redes BiLSTM y Transformers han abierto nuevas posibilidades para el reconocimiento automático de señas al capturar los patrones espacio-temporales del movimiento corporal (Koller et al., 2020; Camgoz et al., 2020). Herramientas como MediaPipe Holistic (Lugaresi et al., 2019) permiten extraer puntos clave corporales en tiempo real sin hardware especializado, democratizando el desarrollo de sistemas de reconocimiento de señas.</w:t>
      </w:r>
    </w:p>
    <w:p>
      <w:r>
        <w:br w:type="page"/>
      </w:r>
    </w:p>
    <w:p>
      <w:pPr>
        <w:pStyle w:val="Heading1"/>
      </w:pPr>
      <w:r>
        <w:t>Capítulo I. Parte Introductoria del Trabajo</w:t>
      </w:r>
    </w:p>
    <w:p>
      <w:pPr>
        <w:pStyle w:val="Heading2"/>
      </w:pPr>
      <w:r>
        <w:t>1.1 Generalidades</w:t>
      </w:r>
    </w:p>
    <w:p>
      <w:pPr>
        <w:spacing w:after="120"/>
        <w:ind w:firstLine="709"/>
      </w:pPr>
      <w:r>
        <w:rPr>
          <w:rFonts w:ascii="Times New Roman" w:hAnsi="Times New Roman"/>
          <w:b w:val="0"/>
          <w:i w:val="0"/>
          <w:sz w:val="24"/>
        </w:rPr>
        <w:t>La comunicación es un derecho humano inalienable cuyo ejercicio pleno define la participación de las personas en la vida social, educativa, laboral y política. La Convención sobre los Derechos de las Personas con Discapacidad, adoptada por las Naciones Unidas en 2006 y ratificada por el Perú mediante Decreto Supremo N.° 073-2007-RE, reconoce explícitamente las lenguas de señas como sistemas lingüísticos completos y establece la obligación de los Estados de promover el acceso a la comunicación en formatos accesibles. No obstante, la distancia entre el reconocimiento normativo y la realidad cotidiana de las personas sordas persiste de manera significativa: en la mayoría de los contextos de interacción servicios de salud, instituciones educativas, organismos públicos y espacios de trabajo, la Lengua de Señas Peruana (LSP) es desconocida por la población oyente, lo que sitúa a los usuarios de esta lengua en una posición estructural de desventaja comunicativa.</w:t>
      </w:r>
    </w:p>
    <w:p>
      <w:pPr>
        <w:spacing w:after="120"/>
        <w:ind w:firstLine="709"/>
      </w:pPr>
      <w:r>
        <w:rPr>
          <w:rFonts w:ascii="Times New Roman" w:hAnsi="Times New Roman"/>
          <w:b w:val="0"/>
          <w:i w:val="0"/>
          <w:sz w:val="24"/>
        </w:rPr>
        <w:t>En el contexto nacional, el Instituto Nacional de Estadística e Informática (INEI, 2017) estimó que aproximadamente 532 000 peruanos presentan dificultades auditivas, de los cuales una proporción relevante utiliza la LSP como primera lengua. Pese a que la Ley N.° 29535 (2010) otorgó reconocimiento oficial a la LSP, su integración en los sistemas de comunicación digital ha avanzado de manera muy limitada. No existe en el país, hasta la fecha de elaboración del presente estudio, un sistema de reconocimiento automático de LSP con validación cuantitativa publicada en la literatura científica indexada, lo que representa una brecha tecnológica con consecuencias directas sobre la inclusión digital y la autonomía comunicativa de la comunidad sorda peruana.</w:t>
      </w:r>
    </w:p>
    <w:p>
      <w:pPr>
        <w:spacing w:after="120"/>
        <w:ind w:firstLine="709"/>
      </w:pPr>
      <w:r>
        <w:rPr>
          <w:rFonts w:ascii="Times New Roman" w:hAnsi="Times New Roman"/>
          <w:b w:val="0"/>
          <w:i w:val="0"/>
          <w:sz w:val="24"/>
        </w:rPr>
        <w:t>A escala global, la inteligencia artificial y en particular el aprendizaje profundo (Deep learning) ha transformado radicalmente el campo del reconocimiento automático de lenguas de señas (Sign Language Recognition, SLR) durante la última década. Arquitecturas como las redes neuronales convolucionales (CNN), las redes recurrentes bidireccionales (BiLSTM) y los modelos Transformer han demostrado capacidad para capturar los patrones espacio-temporales que caracterizan al movimiento de las manos, los brazos y el cuerpo en la comunicación mediante señas (Koller et al., 2020; Camgoz et al., 2020; Rastgoo et al., 2021). La disponibilidad de herramientas de estimación de pose corporal en tiempo real como MediaPipe Holistic (Lugaresi et al., 2019) ha reducido significativamente la barrera de acceso al desarrollo de estos sistemas, al eliminar la necesidad de hardware especializado y permitir la extracción de representaciones robustas de movimiento corporal desde una cámara estándar.</w:t>
      </w:r>
    </w:p>
    <w:p>
      <w:pPr>
        <w:spacing w:after="120"/>
        <w:ind w:firstLine="709"/>
      </w:pPr>
      <w:r>
        <w:rPr>
          <w:rFonts w:ascii="Times New Roman" w:hAnsi="Times New Roman"/>
          <w:b w:val="0"/>
          <w:i w:val="0"/>
          <w:sz w:val="24"/>
        </w:rPr>
        <w:t>Sin embargo, los avances documentados en la literatura han sido desarrollados predominantemente para lenguas de señas de alto recurso, como la American Sign Language (ASL), la Deutsche Gebärdensprache (DGS) o la lengua de señas china, que cuentan con corpus de decenas de miles de muestras etiquetadas y décadas de investigación acumulada. La LSP, como la mayoría de las lenguas de señas latinoamericanas, es una lengua de bajo recurso en el sentido computacional: los corpus públicamente disponibles son escasos, de tamaño reducido y no reflejan la variabilidad regional, generacional y de estilo propio del uso natural de la lengua (Bragg et al., 2019). Esta asimetría de recursos condiciona directamente el desempeño alcanzable por los sistemas automáticos y exige estrategias metodológicas adaptadas al contexto de datos limitados.</w:t>
      </w:r>
    </w:p>
    <w:p>
      <w:pPr>
        <w:spacing w:after="120"/>
        <w:ind w:firstLine="709"/>
      </w:pPr>
      <w:r>
        <w:rPr>
          <w:rFonts w:ascii="Times New Roman" w:hAnsi="Times New Roman"/>
          <w:b w:val="0"/>
          <w:i w:val="0"/>
          <w:sz w:val="24"/>
        </w:rPr>
        <w:t>El presente trabajo de investigación responde a esta problemática mediante el desarrollo de un sistema integral de comunicación inclusiva basado en Deep learning para la traducción automática de la LSP a texto castellano, accesible como aplicación web sin requerir instalación por parte del usuario final. El sistema articula cinco módulos funcionales: captura de señas en tiempo real o desde video pregrabado, extracción de 75 puntos clave corporales mediante MediaPipe Holistic, segmentación de señas aisladas por detección de pausas, clasificación temporal mediante una red BiLSTM con mecanismo de atención exportada a formato ONNX para inferencia optimizada sobre CPU estándar, y una interfaz de usuario desplegada públicamente en HuggingFace Spaces. El proceso de desarrollo comprendió 27 sprints de experimentación iterativa con 24 configuraciones distintas de arquitectura e hiperparámetros, sobre un corpus de 4 176 muestras correspondientes a 96 clases del vocabulario LSP.</w:t>
      </w:r>
    </w:p>
    <w:p>
      <w:pPr>
        <w:spacing w:after="120"/>
        <w:ind w:firstLine="709"/>
      </w:pPr>
      <w:r>
        <w:rPr>
          <w:rFonts w:ascii="Times New Roman" w:hAnsi="Times New Roman"/>
          <w:b w:val="0"/>
          <w:i w:val="0"/>
          <w:sz w:val="24"/>
        </w:rPr>
        <w:t>Los resultados obtenidos evidencian tanto los logros como las limitaciones propias de un sistema desarrollado sobre una lengua de bajo recurso. El modelo alcanzó un F1-macro de 0.4426 en el conjunto de prueba independiente (Top-3: 57.2 %; Top-5: 64.4 %), cifra que representa el mejor punto histórico del proyecto, aunque no alcanza la meta declarada de F1 ≥ 0.70, cuya brecha se atribuye a la cantidad de muestras disponibles por clase y no a limitaciones de la arquitectura. En cuanto a la eficiencia temporal, el pipeline extremo a extremo opera con latencia mediana de 54.7 ms cumpliendo con amplio margen el umbral de 200 ms requerido para la comunicación en tiempo real con el componente MediaPipe Holistic como cuello de botella computacional, no el modelo de clasificación. La capacidad de generalización a señantes no incluidos en el entrenamiento fue evaluada mediante ΔF1 = 0.0406 y PSI = 0.0288, ambos satisfactorios, con una limitación documentada en el estadístico de Kolmogorov-Smirnov atribuida a la hipersensibilidad estadística del test ante el tamaño de muestra disponible.</w:t>
      </w:r>
    </w:p>
    <w:p>
      <w:pPr>
        <w:spacing w:after="120"/>
        <w:ind w:firstLine="709"/>
      </w:pPr>
      <w:r>
        <w:rPr>
          <w:rFonts w:ascii="Times New Roman" w:hAnsi="Times New Roman"/>
          <w:b w:val="0"/>
          <w:i w:val="0"/>
          <w:sz w:val="24"/>
        </w:rPr>
        <w:t>La relevancia del presente estudio se sitúa en tres planos complementarios. En el plano científico, contribuye con evidencia cuantitativa sobre la viabilidad de sistemas BiLSTM con representaciones de puntos clave para el reconocimiento de señas LSP, aportando métricas de reproducibilidad, generalización y dataset shift que no han sido reportadas previamente para esta lengua en la literatura indexada. En el plano tecnológico, desarrolla y valida una arquitectura de sistema integral con contratos de API documentados, suite de tests automatizados y despliegue público que puede ser adoptada y extendida por otros investigadores o desarrolladores. En el plano social, el sistema constituye un prototipo funcional orientado a reducir las barreras comunicativas de la comunidad sorda peruana mediante tecnología accesible desde dispositivos estándar sin instalación.</w:t>
      </w:r>
    </w:p>
    <w:p>
      <w:pPr>
        <w:spacing w:after="120"/>
        <w:ind w:firstLine="709"/>
      </w:pPr>
      <w:r>
        <w:rPr>
          <w:rFonts w:ascii="Times New Roman" w:hAnsi="Times New Roman"/>
          <w:b w:val="0"/>
          <w:i w:val="0"/>
          <w:sz w:val="24"/>
        </w:rPr>
        <w:t>El presente documento se organiza en cuatro capítulos. El Capítulo I presenta las generalidades del estudio, la descripción del problema de investigación, los objetivos y los antecedentes investigativos nacionales e internacionales más relevantes. El Capítulo II desarrolla el marco teórico que aborda los fundamentos de las arquitecturas BiLSTM, la estimación de pose corporal con MediaPipe Holistic, la inferencia optimizada con ONNX Runtime y los conceptos de generalización y dataset shift así como el marco conceptual que articula los términos clave del estudio. El Capítulo III describe el desarrollo del trabajo de investigación, incluyendo el diseño metodológico, el corpus utilizado, la arquitectura del sistema, el proceso de entrenamiento y la trayectoria experimental, el plan de despliegue con el estado detallado de los componentes, los riesgos identificados y la hoja de ruta a producción. El Capítulo IV presenta el análisis y la discusión de los resultados obtenidos para cada objetivo específico, contrastados con los antecedentes y el marco teórico. El documento concluye con las conclusiones por objetivo, las recomendaciones derivadas de los hallazgos, las referencias bibliográficas en formato APA 7.ª edición y los anexos.</w:t>
      </w:r>
    </w:p>
    <w:p>
      <w:pPr>
        <w:pStyle w:val="Heading2"/>
      </w:pPr>
      <w:r>
        <w:t>1.2 Descripción del Problema de Investigación</w:t>
      </w:r>
    </w:p>
    <w:p>
      <w:pPr>
        <w:spacing w:after="120"/>
        <w:ind w:firstLine="709"/>
      </w:pPr>
      <w:r>
        <w:rPr>
          <w:rFonts w:ascii="Times New Roman" w:hAnsi="Times New Roman"/>
          <w:b w:val="0"/>
          <w:i w:val="0"/>
          <w:sz w:val="24"/>
        </w:rPr>
        <w:t>No existe en el Perú un sistema de reconocimiento automático de LSP con validación cuantitativa publicada en la literatura científica indexada. Los sistemas internacionales disponibles no son transferibles directamente a la LSP debido a sus particularidades léxicas y gramaticales (Bragg et al., 2019). Desde la perspectiva tecnológica, el SLR enfrenta desafíos de variabilidad inter-señante, escasez de corpus etiquetados y necesidad de operar en tiempo real con hardware estándar (Rastgoo et al., 2021).</w:t>
      </w:r>
    </w:p>
    <w:p>
      <w:r>
        <w:rPr>
          <w:rFonts w:ascii="Times New Roman" w:hAnsi="Times New Roman"/>
          <w:b/>
          <w:i w:val="0"/>
          <w:sz w:val="24"/>
        </w:rPr>
        <w:t xml:space="preserve">Problema General: </w:t>
      </w:r>
      <w:r>
        <w:rPr>
          <w:rFonts w:ascii="Times New Roman" w:hAnsi="Times New Roman"/>
          <w:b w:val="0"/>
          <w:i w:val="0"/>
          <w:sz w:val="24"/>
        </w:rPr>
        <w:t>¿En qué medida un sistema integral basado en Deep Learning permite realizar la traducción automática de la Lengua de Señas Peruana (LSP) a texto castellano?</w:t>
      </w:r>
    </w:p>
    <w:p>
      <w:pPr>
        <w:pStyle w:val="ListBullet"/>
      </w:pPr>
      <w:r>
        <w:rPr>
          <w:rFonts w:ascii="Times New Roman" w:hAnsi="Times New Roman"/>
          <w:b/>
          <w:i w:val="0"/>
          <w:sz w:val="24"/>
        </w:rPr>
        <w:t xml:space="preserve">PO1: </w:t>
      </w:r>
      <w:r>
        <w:rPr>
          <w:rFonts w:ascii="Times New Roman" w:hAnsi="Times New Roman"/>
          <w:b w:val="0"/>
          <w:i w:val="0"/>
          <w:sz w:val="24"/>
        </w:rPr>
        <w:t>¿En qué medida un modelo basado en Deep Learning permite mejorar el desempeño de la traducción automática de la Lengua de Señas Peruana (LSP) a texto castellano, alcanzando un F1-score ≥ 0.70?</w:t>
      </w:r>
    </w:p>
    <w:p>
      <w:pPr>
        <w:pStyle w:val="ListBullet"/>
      </w:pPr>
      <w:r>
        <w:rPr>
          <w:rFonts w:ascii="Times New Roman" w:hAnsi="Times New Roman"/>
          <w:b/>
          <w:i w:val="0"/>
          <w:sz w:val="24"/>
        </w:rPr>
        <w:t xml:space="preserve">PO2: </w:t>
      </w:r>
      <w:r>
        <w:rPr>
          <w:rFonts w:ascii="Times New Roman" w:hAnsi="Times New Roman"/>
          <w:b w:val="0"/>
          <w:i w:val="0"/>
          <w:sz w:val="24"/>
        </w:rPr>
        <w:t>¿En qué medida el pipeline de inferencia permite la traducción en tiempo real con latencia &lt; 200 ms?</w:t>
      </w:r>
    </w:p>
    <w:p>
      <w:pPr>
        <w:pStyle w:val="ListBullet"/>
      </w:pPr>
      <w:r>
        <w:rPr>
          <w:rFonts w:ascii="Times New Roman" w:hAnsi="Times New Roman"/>
          <w:b/>
          <w:i w:val="0"/>
          <w:sz w:val="24"/>
        </w:rPr>
        <w:t xml:space="preserve">PO3: </w:t>
      </w:r>
      <w:r>
        <w:rPr>
          <w:rFonts w:ascii="Times New Roman" w:hAnsi="Times New Roman"/>
          <w:b w:val="0"/>
          <w:i w:val="0"/>
          <w:sz w:val="24"/>
        </w:rPr>
        <w:t>¿En qué medida la generalización del modelo permite mantener el desempeño ante usuarios y datos no observados durante el entrenamiento?</w:t>
      </w:r>
    </w:p>
    <w:p>
      <w:pPr>
        <w:pStyle w:val="Heading2"/>
      </w:pPr>
      <w:r>
        <w:t>1.3 Objetivos del Estudio</w:t>
      </w:r>
    </w:p>
    <w:p>
      <w:pPr>
        <w:pStyle w:val="Heading3"/>
      </w:pPr>
      <w:r>
        <w:t>1.3.1 Objetivo General</w:t>
      </w:r>
    </w:p>
    <w:p>
      <w:pPr>
        <w:spacing w:after="120"/>
      </w:pPr>
      <w:r>
        <w:rPr>
          <w:rFonts w:ascii="Times New Roman" w:hAnsi="Times New Roman"/>
          <w:b w:val="0"/>
          <w:i w:val="0"/>
          <w:sz w:val="24"/>
        </w:rPr>
        <w:t>Desarrollar un sistema integral basado en Deep Learning para la traducción automática de la Lengua de Señas Peruana (LSP) a texto castellano.</w:t>
      </w:r>
    </w:p>
    <w:p>
      <w:pPr>
        <w:pStyle w:val="Heading3"/>
      </w:pPr>
      <w:r>
        <w:t>1.3.2 Objetivos Específicos</w:t>
      </w:r>
    </w:p>
    <w:p>
      <w:pPr>
        <w:pStyle w:val="ListBullet"/>
      </w:pPr>
      <w:r>
        <w:rPr>
          <w:rFonts w:ascii="Times New Roman" w:hAnsi="Times New Roman"/>
          <w:b/>
          <w:i w:val="0"/>
          <w:sz w:val="24"/>
        </w:rPr>
        <w:t xml:space="preserve">OE1: </w:t>
      </w:r>
      <w:r>
        <w:rPr>
          <w:rFonts w:ascii="Times New Roman" w:hAnsi="Times New Roman"/>
          <w:b w:val="0"/>
          <w:i w:val="0"/>
          <w:sz w:val="24"/>
        </w:rPr>
        <w:t>Diseñar y desarrollar un modelo basado en Deep Learning para la traducción automática de la Lengua de Señas Peruana (LSP) a texto castellano, con un desempeño F1-score ≥ 0.70.</w:t>
      </w:r>
    </w:p>
    <w:p>
      <w:pPr>
        <w:pStyle w:val="ListBullet"/>
      </w:pPr>
      <w:r>
        <w:rPr>
          <w:rFonts w:ascii="Times New Roman" w:hAnsi="Times New Roman"/>
          <w:b/>
          <w:i w:val="0"/>
          <w:sz w:val="24"/>
        </w:rPr>
        <w:t xml:space="preserve">OE2: </w:t>
      </w:r>
      <w:r>
        <w:rPr>
          <w:rFonts w:ascii="Times New Roman" w:hAnsi="Times New Roman"/>
          <w:b w:val="0"/>
          <w:i w:val="0"/>
          <w:sz w:val="24"/>
        </w:rPr>
        <w:t>Mejorar el pipeline de inferencia basado en Deep Learning para realizar la traducción automática de la Lengua de Señas Peruana (LSP) en tiempo real con una latencia inferior a 200 ms.</w:t>
      </w:r>
    </w:p>
    <w:p>
      <w:pPr>
        <w:pStyle w:val="ListBullet"/>
      </w:pPr>
      <w:r>
        <w:rPr>
          <w:rFonts w:ascii="Times New Roman" w:hAnsi="Times New Roman"/>
          <w:b/>
          <w:i w:val="0"/>
          <w:sz w:val="24"/>
        </w:rPr>
        <w:t xml:space="preserve">OE3: </w:t>
      </w:r>
      <w:r>
        <w:rPr>
          <w:rFonts w:ascii="Times New Roman" w:hAnsi="Times New Roman"/>
          <w:b w:val="0"/>
          <w:i w:val="0"/>
          <w:sz w:val="24"/>
        </w:rPr>
        <w:t>Mejorar la capacidad de generalización del modelo basado en Deep Learning para mantener el desempeño de la traducción automática de la Lengua de Señas Peruana (LSP) ante usuarios y datos no observados durante el entrenamiento.</w:t>
      </w:r>
    </w:p>
    <w:p>
      <w:pPr>
        <w:pStyle w:val="Heading2"/>
      </w:pPr>
      <w:r>
        <w:t>1.4 Hipótesis de la Investigación</w:t>
      </w:r>
    </w:p>
    <w:p>
      <w:pPr>
        <w:pStyle w:val="Heading3"/>
      </w:pPr>
      <w:r>
        <w:t>1.4.1 Hipótesis General</w:t>
      </w:r>
    </w:p>
    <w:p>
      <w:pPr>
        <w:spacing w:after="120"/>
      </w:pPr>
      <w:r>
        <w:rPr>
          <w:rFonts w:ascii="Times New Roman" w:hAnsi="Times New Roman"/>
          <w:b w:val="0"/>
          <w:i w:val="0"/>
          <w:sz w:val="24"/>
        </w:rPr>
        <w:t>El sistema integral basado en Deep Learning permite realizar la traducción automática de la Lengua de Señas Peruana (LSP) a texto castellano mediante un desempeño cuantificable del modelo y del proceso de inferencia.</w:t>
      </w:r>
    </w:p>
    <w:p>
      <w:pPr>
        <w:pStyle w:val="Heading3"/>
      </w:pPr>
      <w:r>
        <w:t>1.4.2 Hipótesis Específicas</w:t>
      </w:r>
    </w:p>
    <w:p>
      <w:pPr>
        <w:pStyle w:val="ListBullet"/>
      </w:pPr>
      <w:r>
        <w:rPr>
          <w:rFonts w:ascii="Times New Roman" w:hAnsi="Times New Roman"/>
          <w:b/>
          <w:i w:val="0"/>
          <w:sz w:val="24"/>
        </w:rPr>
        <w:t xml:space="preserve">HE1: </w:t>
      </w:r>
      <w:r>
        <w:rPr>
          <w:rFonts w:ascii="Times New Roman" w:hAnsi="Times New Roman"/>
          <w:b w:val="0"/>
          <w:i w:val="0"/>
          <w:sz w:val="24"/>
        </w:rPr>
        <w:t>El modelo basado en Deep Learning permite mejorar el desempeño de la traducción automática de la Lengua de Señas Peruana (LSP) a texto castellano, logrando un F1-score ≥ 0.70 durante la evaluación experimental.</w:t>
      </w:r>
    </w:p>
    <w:p>
      <w:pPr>
        <w:pStyle w:val="ListBullet"/>
      </w:pPr>
      <w:r>
        <w:rPr>
          <w:rFonts w:ascii="Times New Roman" w:hAnsi="Times New Roman"/>
          <w:b/>
          <w:i w:val="0"/>
          <w:sz w:val="24"/>
        </w:rPr>
        <w:t xml:space="preserve">HE2: </w:t>
      </w:r>
      <w:r>
        <w:rPr>
          <w:rFonts w:ascii="Times New Roman" w:hAnsi="Times New Roman"/>
          <w:b w:val="0"/>
          <w:i w:val="0"/>
          <w:sz w:val="24"/>
        </w:rPr>
        <w:t>La mejora del pipeline de inferencia basado en Deep Learning permite realizar la traducción automática de la Lengua de Señas Peruana (LSP) en tiempo real, alcanzando una latencia inferior a 200 ms sin afectar significativamente el desempeño del modelo.</w:t>
      </w:r>
    </w:p>
    <w:p>
      <w:pPr>
        <w:pStyle w:val="ListBullet"/>
      </w:pPr>
      <w:r>
        <w:rPr>
          <w:rFonts w:ascii="Times New Roman" w:hAnsi="Times New Roman"/>
          <w:b/>
          <w:i w:val="0"/>
          <w:sz w:val="24"/>
        </w:rPr>
        <w:t xml:space="preserve">HE3: </w:t>
      </w:r>
      <w:r>
        <w:rPr>
          <w:rFonts w:ascii="Times New Roman" w:hAnsi="Times New Roman"/>
          <w:b w:val="0"/>
          <w:i w:val="0"/>
          <w:sz w:val="24"/>
        </w:rPr>
        <w:t>La mejora de la capacidad de generalización del modelo basado en Deep Learning permite mantener el desempeño de la traducción automática de la Lengua de Señas Peruana (LSP) ante usuarios y datos no observados durante el entrenamiento.</w:t>
      </w:r>
    </w:p>
    <w:p>
      <w:pPr>
        <w:pStyle w:val="Heading2"/>
      </w:pPr>
      <w:r>
        <w:t>1.5 Antecedentes Investigativos</w:t>
      </w:r>
    </w:p>
    <w:p>
      <w:pPr>
        <w:pStyle w:val="Heading3"/>
      </w:pPr>
      <w:r>
        <w:t>Antecedentes Internacionales</w:t>
      </w:r>
    </w:p>
    <w:p>
      <w:pPr>
        <w:spacing w:after="200"/>
      </w:pPr>
      <w:r>
        <w:rPr>
          <w:rFonts w:ascii="Times New Roman" w:hAnsi="Times New Roman"/>
          <w:b/>
          <w:i w:val="0"/>
          <w:sz w:val="24"/>
        </w:rPr>
        <w:t xml:space="preserve">Camgoz et al. (2020). </w:t>
      </w:r>
      <w:r>
        <w:rPr>
          <w:rFonts w:ascii="Times New Roman" w:hAnsi="Times New Roman"/>
          <w:b w:val="0"/>
          <w:i w:val="0"/>
          <w:sz w:val="24"/>
        </w:rPr>
        <w:t>Sign Language Transformers: Joint End-to-End Sign Language Recognition and Translation. IEEE/CVF CVPR. Propone un Transformer de extremo a extremo para reconocimiento y traducción simultánea de DGS, reportando BLEU-4 = 23.65 sobre PHOENIX-Weather 2014T. Referencia metodológica para métricas de evaluación y arquitecturas secuencia a secuencia.</w:t>
      </w:r>
    </w:p>
    <w:p>
      <w:pPr>
        <w:spacing w:after="200"/>
      </w:pPr>
      <w:r>
        <w:rPr>
          <w:rFonts w:ascii="Times New Roman" w:hAnsi="Times New Roman"/>
          <w:b/>
          <w:i w:val="0"/>
          <w:sz w:val="24"/>
        </w:rPr>
        <w:t xml:space="preserve">Koller et al. (2020). </w:t>
      </w:r>
      <w:r>
        <w:rPr>
          <w:rFonts w:ascii="Times New Roman" w:hAnsi="Times New Roman"/>
          <w:b w:val="0"/>
          <w:i w:val="0"/>
          <w:sz w:val="24"/>
        </w:rPr>
        <w:t>Weakly Supervised Learning with Multi-Stream CNN-LSTM-HMM for Sign Language Recognition and Translation. IEEE TPAMI, 42(11). Combina CNN, LSTM e HMM en aprendizaje débilmente supervisado, demostrando que pipelines multimodales mejoran la precisión del reconocimiento continuo de señas.</w:t>
      </w:r>
    </w:p>
    <w:p>
      <w:pPr>
        <w:spacing w:after="200"/>
      </w:pPr>
      <w:r>
        <w:rPr>
          <w:rFonts w:ascii="Times New Roman" w:hAnsi="Times New Roman"/>
          <w:b/>
          <w:i w:val="0"/>
          <w:sz w:val="24"/>
        </w:rPr>
        <w:t xml:space="preserve">Rastgoo et al. (2021). </w:t>
      </w:r>
      <w:r>
        <w:rPr>
          <w:rFonts w:ascii="Times New Roman" w:hAnsi="Times New Roman"/>
          <w:b w:val="0"/>
          <w:i w:val="0"/>
          <w:sz w:val="24"/>
        </w:rPr>
        <w:t>Sign Language Recognition: A Deep Survey. Expert Systems with Applications, 164, 113794. Revisión sistemática de más de 200 trabajos. Identifica la escasez de corpus, variabilidad inter-señante y transferencia a nuevos señantes como principales desafíos coincidentes con las limitaciones del presente estudio.</w:t>
      </w:r>
    </w:p>
    <w:p>
      <w:pPr>
        <w:spacing w:after="200"/>
      </w:pPr>
      <w:r>
        <w:rPr>
          <w:rFonts w:ascii="Times New Roman" w:hAnsi="Times New Roman"/>
          <w:b/>
          <w:i w:val="0"/>
          <w:sz w:val="24"/>
        </w:rPr>
        <w:t xml:space="preserve">Jiang et al. (2021). </w:t>
      </w:r>
      <w:r>
        <w:rPr>
          <w:rFonts w:ascii="Times New Roman" w:hAnsi="Times New Roman"/>
          <w:b w:val="0"/>
          <w:i w:val="0"/>
          <w:sz w:val="24"/>
        </w:rPr>
        <w:t>Skeleton Aware Multi-modal Sign Language Recognition. IEEE/CVF CVPRW. Demuestra que representaciones de puntos clave son suficientes para lograr precisiones competitivas con mayor eficiencia computacional y robustez a variaciones de iluminación y fondo.</w:t>
      </w:r>
    </w:p>
    <w:p>
      <w:pPr>
        <w:spacing w:after="200"/>
      </w:pPr>
      <w:r>
        <w:rPr>
          <w:rFonts w:ascii="Times New Roman" w:hAnsi="Times New Roman"/>
          <w:b/>
          <w:i w:val="0"/>
          <w:sz w:val="24"/>
        </w:rPr>
        <w:t xml:space="preserve">De Coster et al. (2020). </w:t>
      </w:r>
      <w:r>
        <w:rPr>
          <w:rFonts w:ascii="Times New Roman" w:hAnsi="Times New Roman"/>
          <w:b w:val="0"/>
          <w:i w:val="0"/>
          <w:sz w:val="24"/>
        </w:rPr>
        <w:t>Sign Language Recognition with Transformer Networks. LREC 2020. Reporta que modelos basados en puntos clave presentan mayor generalización a nuevos señantes respecto a modelos basados en apariencia visual.</w:t>
      </w:r>
    </w:p>
    <w:p>
      <w:pPr>
        <w:spacing w:after="200"/>
      </w:pPr>
      <w:r>
        <w:rPr>
          <w:rFonts w:ascii="Times New Roman" w:hAnsi="Times New Roman"/>
          <w:b/>
          <w:i w:val="0"/>
          <w:sz w:val="24"/>
        </w:rPr>
        <w:t xml:space="preserve">Bragg et al. (2019). </w:t>
      </w:r>
      <w:r>
        <w:rPr>
          <w:rFonts w:ascii="Times New Roman" w:hAnsi="Times New Roman"/>
          <w:b w:val="0"/>
          <w:i w:val="0"/>
          <w:sz w:val="24"/>
        </w:rPr>
        <w:t>Sign Language Recognition, Generación, and Translation: An Interdisciplinary Perspective. ACM ASSETS. Revisión interdisciplinaria que destaca la importancia de corpus que reflejen la variabilidad natural del uso de la lengua de señas en contextos cotidianos.</w:t>
      </w:r>
    </w:p>
    <w:p>
      <w:pPr>
        <w:pStyle w:val="Heading3"/>
      </w:pPr>
      <w:r>
        <w:t>Antecedentes Nacionales</w:t>
      </w:r>
    </w:p>
    <w:p>
      <w:pPr>
        <w:spacing w:after="120"/>
        <w:ind w:firstLine="709"/>
      </w:pPr>
      <w:r>
        <w:rPr>
          <w:rFonts w:ascii="Times New Roman" w:hAnsi="Times New Roman"/>
          <w:b w:val="0"/>
          <w:i w:val="0"/>
          <w:sz w:val="24"/>
        </w:rPr>
        <w:t>A diferencia de los antecedentes internacionales, la producción científica sobre reconocimiento automático de LSP es incipiente pero real y creciente, con trabajos verificables en IEEE Xplore, Springer y revistas indexadas en Scopus/SciELO. Se presenta a continuación, organizada cronológicamente.</w:t>
      </w:r>
    </w:p>
    <w:p>
      <w:pPr>
        <w:spacing w:after="200"/>
      </w:pPr>
      <w:r>
        <w:rPr>
          <w:rFonts w:ascii="Times New Roman" w:hAnsi="Times New Roman"/>
          <w:b/>
          <w:i w:val="0"/>
          <w:sz w:val="24"/>
        </w:rPr>
        <w:t xml:space="preserve">Berru-Novoa et al. (2018). </w:t>
      </w:r>
      <w:r>
        <w:rPr>
          <w:rFonts w:ascii="Times New Roman" w:hAnsi="Times New Roman"/>
          <w:b w:val="0"/>
          <w:i w:val="0"/>
          <w:sz w:val="24"/>
        </w:rPr>
        <w:t>Peruvian Sign Language Recognition Using Low Resolution Cameras. 2018 IEEE XXV International Conference on Electronics, Electrical Engineering and Computing (INTERCON). Dataset de 2 400 imágenes de gestos estáticos del abecedario LSP; HOG+SVM alcanzó 89.46% de exactitud con invarianza a traslación, rotación y escala — antecedente directo del abecedario abordado en §4.4 de este trabajo, aunque con un enfoque de características clásicas (HOG) en vez de aprendizaje profundo end-to-end.</w:t>
      </w:r>
    </w:p>
    <w:p>
      <w:pPr>
        <w:spacing w:after="200"/>
      </w:pPr>
      <w:r>
        <w:rPr>
          <w:rFonts w:ascii="Times New Roman" w:hAnsi="Times New Roman"/>
          <w:b/>
          <w:i w:val="0"/>
          <w:sz w:val="24"/>
        </w:rPr>
        <w:t xml:space="preserve">Barrientos-Villalta et al. (2022). </w:t>
      </w:r>
      <w:r>
        <w:rPr>
          <w:rFonts w:ascii="Times New Roman" w:hAnsi="Times New Roman"/>
          <w:b w:val="0"/>
          <w:i w:val="0"/>
          <w:sz w:val="24"/>
        </w:rPr>
        <w:t>Peruvian Sign Language Recognition Using Recurrent Neural Networks. Advanced Research in Technologies, Information, Innovation and Sustainability (ARTIIS 2022), Communications in Computer and Information Science, vol. 1675. Springer. Aplica redes recurrentes para reconocimiento de LSP — antecedente metodológico directo de la arquitectura BiLSTM empleada en el presente estudio, aunque sin reportar métricas de generalización inter-señante (ΔF1, PSI, KS) ni de latencia end-to-end.</w:t>
      </w:r>
    </w:p>
    <w:p>
      <w:pPr>
        <w:spacing w:after="200"/>
      </w:pPr>
      <w:r>
        <w:rPr>
          <w:rFonts w:ascii="Times New Roman" w:hAnsi="Times New Roman"/>
          <w:b/>
          <w:i w:val="0"/>
          <w:sz w:val="24"/>
        </w:rPr>
        <w:t xml:space="preserve">Bejarano et al. (2022). </w:t>
      </w:r>
      <w:r>
        <w:rPr>
          <w:rFonts w:ascii="Times New Roman" w:hAnsi="Times New Roman"/>
          <w:b w:val="0"/>
          <w:i w:val="0"/>
          <w:sz w:val="24"/>
        </w:rPr>
        <w:t>PeruSIL: A Framework to Build a Continuous Peruvian Sign Language Interpretation Dataset. LREC2022 10th Workshop on the Representation and Processing of Sign Languages (pp. 1–8). ELRA. Framework para construir datasets continuos de LSP a partir de narración interpretada, anotada por voluntarios oyentes guiados por el audio — antecedente directo de la fuente AEC utilizada en el corpus de este estudio (Tabla 13) y de la metodología de anotación por audio explorada en la línea de narración continua (§4.5).</w:t>
      </w:r>
    </w:p>
    <w:p>
      <w:pPr>
        <w:spacing w:after="200"/>
      </w:pPr>
      <w:r>
        <w:rPr>
          <w:rFonts w:ascii="Times New Roman" w:hAnsi="Times New Roman"/>
          <w:b/>
          <w:i w:val="0"/>
          <w:sz w:val="24"/>
        </w:rPr>
        <w:t xml:space="preserve">Maquera et al. (2024). </w:t>
      </w:r>
      <w:r>
        <w:rPr>
          <w:rFonts w:ascii="Times New Roman" w:hAnsi="Times New Roman"/>
          <w:b w:val="0"/>
          <w:i w:val="0"/>
          <w:sz w:val="24"/>
        </w:rPr>
        <w:t>Peruvian Sign Recognition (LSP) to the Native Quechua Language Using LSTM. 2024 IEEE ANDESCON. https://doi.org/10.1109/ANDESCON61840.2024.10755865. Traduce LSP a quechua mediante LSTM — evidencia de que la arquitectura recurrente sigue siendo el estándar de facto para LSP en la literatura reciente, consistente con la elección de BiLSTM de este estudio.</w:t>
      </w:r>
    </w:p>
    <w:p>
      <w:pPr>
        <w:spacing w:after="200"/>
      </w:pPr>
      <w:r>
        <w:rPr>
          <w:rFonts w:ascii="Times New Roman" w:hAnsi="Times New Roman"/>
          <w:b/>
          <w:i w:val="0"/>
          <w:sz w:val="24"/>
        </w:rPr>
        <w:t xml:space="preserve">Cruz Ulloa et al. (2026). </w:t>
      </w:r>
      <w:r>
        <w:rPr>
          <w:rFonts w:ascii="Times New Roman" w:hAnsi="Times New Roman"/>
          <w:b w:val="0"/>
          <w:i w:val="0"/>
          <w:sz w:val="24"/>
        </w:rPr>
        <w:t>Sistema Inteligente en Tiempo Real para la Interpretación del Lenguaje de Señas Peruano en la Atención al Cliente. Revista Cubana de Ciencias Informáticas, 20(3). Sistema en tiempo real para el abecedario dactilológico de LSP evaluado con métricas de precisión, tiempo de comunicación y satisfacción de usuario — antecedente directo para OE2 (latencia en tiempo real) y para la validación de percepción de usuario reportada en el Anexo C.11 de este trabajo.</w:t>
      </w:r>
    </w:p>
    <w:p>
      <w:r>
        <w:br w:type="page"/>
      </w:r>
    </w:p>
    <w:p>
      <w:pPr>
        <w:pStyle w:val="Heading1"/>
      </w:pPr>
      <w:r>
        <w:t>Capítulo II. Marco Teórico y Conceptual</w:t>
      </w:r>
    </w:p>
    <w:p>
      <w:pPr>
        <w:pStyle w:val="Heading2"/>
      </w:pPr>
      <w:r>
        <w:t>2.1 Marco Teórico</w:t>
      </w:r>
    </w:p>
    <w:p>
      <w:pPr>
        <w:pStyle w:val="Heading3"/>
      </w:pPr>
      <w:r>
        <w:t>2.1.1 Reconocimiento Automático de Lengua de Señas</w:t>
      </w:r>
    </w:p>
    <w:p>
      <w:pPr>
        <w:spacing w:after="120"/>
      </w:pPr>
      <w:r>
        <w:rPr>
          <w:rFonts w:ascii="Times New Roman" w:hAnsi="Times New Roman"/>
          <w:b w:val="0"/>
          <w:i w:val="0"/>
          <w:sz w:val="24"/>
        </w:rPr>
        <w:t>El reconocimiento automático de lengua de señas (SLR) aborda la interpretación de la comunicación visual-gestual como un problema de clasificación de secuencias temporales. La literatura distingue entre reconocimiento de señas aisladas (ISLR) y reconocimiento continuo (CSLR). El presente estudio se enmarca en ISLR con segmentación por pausas, lo que permite operar con hardware estándar sin requerir modelos de lenguaje de señas completos (Rastgoo et al., 2021).</w:t>
      </w:r>
    </w:p>
    <w:p>
      <w:pPr>
        <w:pStyle w:val="Heading3"/>
      </w:pPr>
      <w:r>
        <w:t>2.1.2 Redes BiLSTM con Mecanismo de Atención</w:t>
      </w:r>
    </w:p>
    <w:p>
      <w:pPr>
        <w:spacing w:after="120"/>
      </w:pPr>
      <w:r>
        <w:rPr>
          <w:rFonts w:ascii="Times New Roman" w:hAnsi="Times New Roman"/>
          <w:b w:val="0"/>
          <w:i w:val="0"/>
          <w:sz w:val="24"/>
        </w:rPr>
        <w:t>La arquitectura Long Short-Term Memory (Hochreiter &amp; Schmidhuber, 1997) resuelve el problema del desvanecimiento del gradiente en RNN mediante celdas de memoria con compuertas. La variante bidireccional (Schuster &amp; Paliwal, 1997) procesa la secuencia en ambas direcciones integrando contexto pasado y futuro especialmente valiosa en señas donde un fotograma depende de los movimientos precedentes y siguientes. Los mecanismos de atención (Bahdanau et al., 2015) ponderan diferencialmente los estados ocultos más informativos para la predicción de clase.</w:t>
      </w:r>
    </w:p>
    <w:p>
      <w:pPr>
        <w:pStyle w:val="Heading3"/>
      </w:pPr>
      <w:r>
        <w:t>2.1.3 Estimación de Pose con MediaPipe Holistic</w:t>
      </w:r>
    </w:p>
    <w:p>
      <w:pPr>
        <w:spacing w:after="120"/>
      </w:pPr>
      <w:r>
        <w:rPr>
          <w:rFonts w:ascii="Times New Roman" w:hAnsi="Times New Roman"/>
          <w:b w:val="0"/>
          <w:i w:val="0"/>
          <w:sz w:val="24"/>
        </w:rPr>
        <w:t>MediaPipe Holistic (Lugaresi et al., 2019) detecta simultáneamente 543 puntos de referencia: 468 faciales, 21 por mano y 33 corporales. Opera en tiempo real sobre CPU estándar sin hardware especializado. La representación mediante puntos clave ofrece robustez a variaciones de iluminación, color de piel y fondo, con mejor generalización inter-señante respecto a representaciones de video completo (Jiang et al., 2021). En este estudio se utilizan 75 landmarks de mayor relevancia para la LSP (manos + cuerpo superior), generando vectores de 150 dimensiones por fotograma.</w:t>
      </w:r>
    </w:p>
    <w:p>
      <w:pPr>
        <w:pStyle w:val="Heading3"/>
      </w:pPr>
      <w:r>
        <w:t>2.1.4 Inferencia Eficiente con ONNX Runtime</w:t>
      </w:r>
    </w:p>
    <w:p>
      <w:pPr>
        <w:spacing w:after="120"/>
      </w:pPr>
      <w:r>
        <w:rPr>
          <w:rFonts w:ascii="Times New Roman" w:hAnsi="Times New Roman"/>
          <w:b w:val="0"/>
          <w:i w:val="0"/>
          <w:sz w:val="24"/>
        </w:rPr>
        <w:t>ONNX (Bai et al., 2019) es un formato abierto de representación de modelos que permite portabilidad entre frameworks y optimización de la inferencia mediante fusión de operadores y cuantización. En el presente sistema, la exportación a ONNX (opset 17) redujo la latencia de inferencia del modelo BiLSTM a valores medianos &lt; 1 ms, haciendo que MediaPipe Holistic (~55 ms) sea el cuello de botella computacional del pipeline.</w:t>
      </w:r>
    </w:p>
    <w:p>
      <w:pPr>
        <w:pStyle w:val="Heading3"/>
      </w:pPr>
      <w:r>
        <w:t>2.1.5 Generalización y Dataset Shift</w:t>
      </w:r>
    </w:p>
    <w:p>
      <w:pPr>
        <w:spacing w:after="120"/>
      </w:pPr>
      <w:r>
        <w:rPr>
          <w:rFonts w:ascii="Times New Roman" w:hAnsi="Times New Roman"/>
          <w:b w:val="0"/>
          <w:i w:val="0"/>
          <w:sz w:val="24"/>
        </w:rPr>
        <w:t>La generalización es la capacidad del modelo de mantener su desempeño ante distribuciones no vistas (Quionero-Candela et al., 2009). En SLR, el dataset shift se manifiesta principalmente como variación inter-señante. Las métricas complementarias utilizadas son: ΔF1 (brecha de desempeño entre conjunto interno y holdout externo), PSI (Population Stability Index, cambio distribucional sobre activaciones) y la prueba KS (diferencia en distribución de puntuaciones de confianza softmax).</w:t>
      </w:r>
    </w:p>
    <w:p>
      <w:pPr>
        <w:pStyle w:val="Heading2"/>
      </w:pPr>
      <w:r>
        <w:t>2.2 Marco Conceptual</w:t>
      </w:r>
    </w:p>
    <w:p>
      <w:pPr>
        <w:spacing w:after="200"/>
      </w:pPr>
      <w:r>
        <w:rPr>
          <w:rFonts w:ascii="Times New Roman" w:hAnsi="Times New Roman"/>
          <w:b/>
          <w:i w:val="0"/>
          <w:sz w:val="24"/>
        </w:rPr>
        <w:t xml:space="preserve">Lengua de Señas Peruana (LSP): </w:t>
      </w:r>
      <w:r>
        <w:rPr>
          <w:rFonts w:ascii="Times New Roman" w:hAnsi="Times New Roman"/>
          <w:b w:val="0"/>
          <w:i w:val="0"/>
          <w:sz w:val="24"/>
        </w:rPr>
        <w:t>Sistema lingüístico visual-gestual de la comunidad sorda peruana, reconocido oficialmente por Ley N.° 29535 (2010).</w:t>
      </w:r>
    </w:p>
    <w:p>
      <w:pPr>
        <w:spacing w:after="200"/>
      </w:pPr>
      <w:r>
        <w:rPr>
          <w:rFonts w:ascii="Times New Roman" w:hAnsi="Times New Roman"/>
          <w:b/>
          <w:i w:val="0"/>
          <w:sz w:val="24"/>
        </w:rPr>
        <w:t xml:space="preserve">BiLSTM: </w:t>
      </w:r>
      <w:r>
        <w:rPr>
          <w:rFonts w:ascii="Times New Roman" w:hAnsi="Times New Roman"/>
          <w:b w:val="0"/>
          <w:i w:val="0"/>
          <w:sz w:val="24"/>
        </w:rPr>
        <w:t>Red neuronal recurrente bidireccional con memoria a largo-corto plazo. Procesa secuencias temporales en dirección progresiva y regresiva (Schuster &amp; Paliwal, 1997).</w:t>
      </w:r>
    </w:p>
    <w:p>
      <w:pPr>
        <w:spacing w:after="200"/>
      </w:pPr>
      <w:r>
        <w:rPr>
          <w:rFonts w:ascii="Times New Roman" w:hAnsi="Times New Roman"/>
          <w:b/>
          <w:i w:val="0"/>
          <w:sz w:val="24"/>
        </w:rPr>
        <w:t xml:space="preserve">F1-macro: </w:t>
      </w:r>
      <w:r>
        <w:rPr>
          <w:rFonts w:ascii="Times New Roman" w:hAnsi="Times New Roman"/>
          <w:b w:val="0"/>
          <w:i w:val="0"/>
          <w:sz w:val="24"/>
        </w:rPr>
        <w:t>Promedio no ponderado del F1-score por clase (media armónica de precisión y recall). Adecuado para datasets con desequilibrio de clases.</w:t>
      </w:r>
    </w:p>
    <w:p>
      <w:pPr>
        <w:spacing w:after="200"/>
      </w:pPr>
      <w:r>
        <w:rPr>
          <w:rFonts w:ascii="Times New Roman" w:hAnsi="Times New Roman"/>
          <w:b/>
          <w:i w:val="0"/>
          <w:sz w:val="24"/>
        </w:rPr>
        <w:t xml:space="preserve">PSI (Population Stability Index): </w:t>
      </w:r>
      <w:r>
        <w:rPr>
          <w:rFonts w:ascii="Times New Roman" w:hAnsi="Times New Roman"/>
          <w:b w:val="0"/>
          <w:i w:val="0"/>
          <w:sz w:val="24"/>
        </w:rPr>
        <w:t>PSI = Σ (P_ref − P_new) · ln(P_ref/P_new). PSI &lt; 0.10: estable; 0.10–0.20: cambio moderado; ≥ 0.20: cambio severo.</w:t>
      </w:r>
    </w:p>
    <w:p>
      <w:pPr>
        <w:spacing w:after="200"/>
      </w:pPr>
      <w:r>
        <w:rPr>
          <w:rFonts w:ascii="Times New Roman" w:hAnsi="Times New Roman"/>
          <w:b/>
          <w:i w:val="0"/>
          <w:sz w:val="24"/>
        </w:rPr>
        <w:t xml:space="preserve">ΔF1: </w:t>
      </w:r>
      <w:r>
        <w:rPr>
          <w:rFonts w:ascii="Times New Roman" w:hAnsi="Times New Roman"/>
          <w:b w:val="0"/>
          <w:i w:val="0"/>
          <w:sz w:val="24"/>
        </w:rPr>
        <w:t>Brecha de generalización: ΔF1 = F1-macro (prueba interna) − F1-macro (holdout externo). Umbral de aceptación: ≤ 0.15.</w:t>
      </w:r>
    </w:p>
    <w:p>
      <w:pPr>
        <w:spacing w:after="200"/>
      </w:pPr>
      <w:r>
        <w:rPr>
          <w:rFonts w:ascii="Times New Roman" w:hAnsi="Times New Roman"/>
          <w:b/>
          <w:i w:val="0"/>
          <w:sz w:val="24"/>
        </w:rPr>
        <w:t xml:space="preserve">ONNX Runtime: </w:t>
      </w:r>
      <w:r>
        <w:rPr>
          <w:rFonts w:ascii="Times New Roman" w:hAnsi="Times New Roman"/>
          <w:b w:val="0"/>
          <w:i w:val="0"/>
          <w:sz w:val="24"/>
        </w:rPr>
        <w:t>Motor de inferencia optimizada para modelos exportados en formato Open Neural Network Exchange.</w:t>
      </w:r>
    </w:p>
    <w:p>
      <w:r>
        <w:br w:type="page"/>
      </w:r>
    </w:p>
    <w:p>
      <w:pPr>
        <w:pStyle w:val="Heading2"/>
      </w:pPr>
      <w:r>
        <w:t>2.3 Estado del Arte por Objetivo Específico</w:t>
      </w:r>
    </w:p>
    <w:p>
      <w:pPr>
        <w:spacing w:after="120"/>
        <w:ind w:firstLine="709"/>
      </w:pPr>
      <w:r>
        <w:rPr>
          <w:rFonts w:ascii="Times New Roman" w:hAnsi="Times New Roman"/>
          <w:b w:val="0"/>
          <w:i w:val="0"/>
          <w:sz w:val="24"/>
        </w:rPr>
        <w:t>Se sintetiza a continuación la literatura revisada (antecedentes internacionales y nacionales, §1.5) organizada según el objetivo específico que fundamenta, con fuentes verificables en IEEE Xplore, Springer, ScienceDirect (Scopus) y Revista Cubana de Ciencias Informáticas (SciELO/Scopus).</w:t>
      </w:r>
    </w:p>
    <w:p>
      <w:pPr>
        <w:spacing w:before="200" w:after="40"/>
      </w:pPr>
      <w:r>
        <w:rPr>
          <w:rFonts w:ascii="Times New Roman" w:hAnsi="Times New Roman"/>
          <w:b/>
          <w:sz w:val="24"/>
        </w:rPr>
        <w:t>Tabla 1</w:t>
      </w:r>
    </w:p>
    <w:p>
      <w:pPr>
        <w:spacing w:after="120"/>
      </w:pPr>
      <w:r>
        <w:rPr>
          <w:rFonts w:ascii="Times New Roman" w:hAnsi="Times New Roman"/>
          <w:i/>
          <w:sz w:val="24"/>
        </w:rPr>
        <w:t>Estado del arte organizado por objetivo específico</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D9D9D9"/>
          </w:tcPr>
          <w:p>
            <w:r/>
            <w:r>
              <w:rPr>
                <w:rFonts w:ascii="Times New Roman" w:hAnsi="Times New Roman"/>
                <w:b/>
                <w:sz w:val="21"/>
              </w:rPr>
              <w:t>Objetivo</w:t>
            </w:r>
          </w:p>
        </w:tc>
        <w:tc>
          <w:tcPr>
            <w:tcW w:type="dxa" w:w="3402"/>
            <w:shd w:val="clear" w:color="auto" w:fill="D9D9D9"/>
          </w:tcPr>
          <w:p>
            <w:r/>
            <w:r>
              <w:rPr>
                <w:rFonts w:ascii="Times New Roman" w:hAnsi="Times New Roman"/>
                <w:b/>
                <w:sz w:val="21"/>
              </w:rPr>
              <w:t>Fuentes clave</w:t>
            </w:r>
          </w:p>
        </w:tc>
        <w:tc>
          <w:tcPr>
            <w:tcW w:type="dxa" w:w="4535"/>
            <w:shd w:val="clear" w:color="auto" w:fill="D9D9D9"/>
          </w:tcPr>
          <w:p>
            <w:r/>
            <w:r>
              <w:rPr>
                <w:rFonts w:ascii="Times New Roman" w:hAnsi="Times New Roman"/>
                <w:b/>
                <w:sz w:val="21"/>
              </w:rPr>
              <w:t>Síntesis</w:t>
            </w:r>
          </w:p>
        </w:tc>
      </w:tr>
      <w:tr>
        <w:tc>
          <w:tcPr>
            <w:tcW w:type="dxa" w:w="1701"/>
          </w:tcPr>
          <w:p>
            <w:r/>
            <w:r>
              <w:rPr>
                <w:rFonts w:ascii="Times New Roman" w:hAnsi="Times New Roman"/>
                <w:sz w:val="21"/>
              </w:rPr>
              <w:t>OE1</w:t>
              <w:br/>
              <w:t>(F1 ≥ 0.70)</w:t>
            </w:r>
          </w:p>
        </w:tc>
        <w:tc>
          <w:tcPr>
            <w:tcW w:type="dxa" w:w="3402"/>
          </w:tcPr>
          <w:p>
            <w:r/>
            <w:r>
              <w:rPr>
                <w:rFonts w:ascii="Times New Roman" w:hAnsi="Times New Roman"/>
                <w:sz w:val="21"/>
              </w:rPr>
              <w:t>Rastgoo et al. (2021); Zhang &amp; Jiang (2024); Camgoz et al. (2020); Koller et al. (2020); Barrientos-Villalta et al. (2022); Maquera et al. (2024)</w:t>
            </w:r>
          </w:p>
        </w:tc>
        <w:tc>
          <w:tcPr>
            <w:tcW w:type="dxa" w:w="4535"/>
          </w:tcPr>
          <w:p>
            <w:r/>
            <w:r>
              <w:rPr>
                <w:rFonts w:ascii="Times New Roman" w:hAnsi="Times New Roman"/>
                <w:sz w:val="21"/>
              </w:rPr>
              <w:t>La literatura converge en que el desempeño de SLR depende fuertemente del volumen y diversidad del corpus (Rastgoo et al., 2021; Zhang &amp; Jiang, 2024, sobre 346 estudios 2018-2023); los antecedentes peruanos (Barrientos-Villalta et al., 2022; Maquera et al., 2024) usan arquitecturas recurrentes similares a BiLSTM, consistente con la elección arquitectónica de este estudio, pero ninguno reporta F1-macro con generalización inter-señante medida.</w:t>
            </w:r>
          </w:p>
        </w:tc>
      </w:tr>
      <w:tr>
        <w:tc>
          <w:tcPr>
            <w:tcW w:type="dxa" w:w="1701"/>
          </w:tcPr>
          <w:p>
            <w:r/>
            <w:r>
              <w:rPr>
                <w:rFonts w:ascii="Times New Roman" w:hAnsi="Times New Roman"/>
                <w:sz w:val="21"/>
              </w:rPr>
              <w:t>OE2</w:t>
              <w:br/>
              <w:t>(latencia &lt; 200 ms)</w:t>
            </w:r>
          </w:p>
        </w:tc>
        <w:tc>
          <w:tcPr>
            <w:tcW w:type="dxa" w:w="3402"/>
          </w:tcPr>
          <w:p>
            <w:r/>
            <w:r>
              <w:rPr>
                <w:rFonts w:ascii="Times New Roman" w:hAnsi="Times New Roman"/>
                <w:sz w:val="21"/>
              </w:rPr>
              <w:t>Lugaresi et al. (2019); Bai et al. (2019); Cruz Ulloa et al. (2026)</w:t>
            </w:r>
          </w:p>
        </w:tc>
        <w:tc>
          <w:tcPr>
            <w:tcW w:type="dxa" w:w="4535"/>
          </w:tcPr>
          <w:p>
            <w:r/>
            <w:r>
              <w:rPr>
                <w:rFonts w:ascii="Times New Roman" w:hAnsi="Times New Roman"/>
                <w:sz w:val="21"/>
              </w:rPr>
              <w:t>MediaPipe Holistic (Lugaresi et al., 2019) es la base de extracción de landmarks en tiempo real sin hardware especializado; ONNX Runtime (Bai et al., 2019) permite portabilidad y optimización de inferencia; Cruz Ulloa et al. (2026) es el único antecedente peruano que reporta explícitamente tiempo de comunicación como métrica de sistema en tiempo real para LSP.</w:t>
            </w:r>
          </w:p>
        </w:tc>
      </w:tr>
      <w:tr>
        <w:tc>
          <w:tcPr>
            <w:tcW w:type="dxa" w:w="1701"/>
          </w:tcPr>
          <w:p>
            <w:r/>
            <w:r>
              <w:rPr>
                <w:rFonts w:ascii="Times New Roman" w:hAnsi="Times New Roman"/>
                <w:sz w:val="21"/>
              </w:rPr>
              <w:t>OE3</w:t>
              <w:br/>
              <w:t>(generalización)</w:t>
            </w:r>
          </w:p>
        </w:tc>
        <w:tc>
          <w:tcPr>
            <w:tcW w:type="dxa" w:w="3402"/>
          </w:tcPr>
          <w:p>
            <w:r/>
            <w:r>
              <w:rPr>
                <w:rFonts w:ascii="Times New Roman" w:hAnsi="Times New Roman"/>
                <w:sz w:val="21"/>
              </w:rPr>
              <w:t>Quionero-Candela et al. (2009); Razali &amp; Wah (2011); De Coster et al. (2020); Rastgoo et al. (2021)</w:t>
            </w:r>
          </w:p>
        </w:tc>
        <w:tc>
          <w:tcPr>
            <w:tcW w:type="dxa" w:w="4535"/>
          </w:tcPr>
          <w:p>
            <w:r/>
            <w:r>
              <w:rPr>
                <w:rFonts w:ascii="Times New Roman" w:hAnsi="Times New Roman"/>
                <w:sz w:val="21"/>
              </w:rPr>
              <w:t>Quionero-Candela et al. (2009) formaliza el marco de dataset shift usado en las métricas HE3 de este estudio (ΔF1, PSI, KS); Razali &amp; Wah (2011) fundamenta la interpretación de la hipersensibilidad del test KS ante N grande (§4.3); De Coster et al. (2020) y Rastgoo et al. (2021) documentan que representaciones basadas en puntos clave generalizan mejor a señantes no vistos que modelos basados en apariencia visual, respaldando la elección de landmarks de MediaPipe sobre video crudo en este estudio.</w:t>
            </w:r>
          </w:p>
        </w:tc>
      </w:tr>
    </w:tbl>
    <w:p>
      <w:pPr>
        <w:spacing w:before="80" w:after="280"/>
      </w:pPr>
      <w:r>
        <w:rPr>
          <w:rFonts w:ascii="Times New Roman" w:hAnsi="Times New Roman"/>
          <w:i/>
          <w:sz w:val="21"/>
        </w:rPr>
        <w:t xml:space="preserve">Nota. </w:t>
      </w:r>
      <w:r>
        <w:rPr>
          <w:rFonts w:ascii="Times New Roman" w:hAnsi="Times New Roman"/>
          <w:sz w:val="21"/>
        </w:rPr>
        <w:t>Yan et al. (2018, ST-GCN) e Izmailov et al. (2018, SWA) se citan en el Capítulo IV (§4.1, §4.3) como fundamento de los métodos adicionales probados para OE1/OE3, no como antecedentes del diseño original del sistema.</w:t>
      </w:r>
    </w:p>
    <w:p>
      <w:pPr>
        <w:pStyle w:val="Heading1"/>
      </w:pPr>
      <w:r>
        <w:t>Capítulo III. Desarrollo del Trabajo de Investigación</w:t>
      </w:r>
    </w:p>
    <w:p>
      <w:pPr>
        <w:pStyle w:val="Heading2"/>
      </w:pPr>
      <w:r>
        <w:t>3.1 Diseño Metodológico</w:t>
      </w:r>
    </w:p>
    <w:p>
      <w:pPr>
        <w:spacing w:after="120"/>
        <w:ind w:firstLine="709"/>
      </w:pPr>
      <w:r>
        <w:rPr>
          <w:rFonts w:ascii="Times New Roman" w:hAnsi="Times New Roman"/>
          <w:b w:val="0"/>
          <w:i w:val="0"/>
          <w:sz w:val="24"/>
        </w:rPr>
        <w:t>La investigación adoptó un enfoque cuantitativo, tipo aplicado-experimental, con diseño cuasiexperimental. La variable independiente es el sistema integral basado en Deep Learning; la variable dependiente es la calidad de la traducción automática evaluada en precisión (F1-macro), latencia (ms) y generalización (ΔF1, PSI, KS). La validación interna utilizó KFold estratificado (k=5) y el conjunto de prueba (15%) fue evaluado únicamente al finalizar cada configuración. El holdout externo (20% separado por grupo de señante) se evaluó exclusivamente con el modelo final.</w:t>
      </w:r>
    </w:p>
    <w:p>
      <w:pPr>
        <w:pStyle w:val="Heading2"/>
      </w:pPr>
      <w:r>
        <w:t>3.2 Corpus y Datos</w:t>
      </w:r>
    </w:p>
    <w:p>
      <w:pPr>
        <w:spacing w:after="120"/>
        <w:ind w:firstLine="709"/>
      </w:pPr>
      <w:r>
        <w:rPr>
          <w:rFonts w:ascii="Times New Roman" w:hAnsi="Times New Roman"/>
          <w:b w:val="0"/>
          <w:i w:val="0"/>
          <w:sz w:val="24"/>
        </w:rPr>
        <w:t>El corpus LSP peruano comprende 4 176 muestras de 96 clases de vocabulario. Cada muestra es una ventana temporal de 30 fotogramas con 75 puntos clave corporales extraídos mediante MediaPipe Holistic, normalizados por z-score respecto a las coordenadas del torso, generando vectores de 150 dimensiones por fotograma.</w:t>
      </w:r>
    </w:p>
    <w:p>
      <w:pPr>
        <w:spacing w:before="200" w:after="40"/>
      </w:pPr>
      <w:r>
        <w:rPr>
          <w:rFonts w:ascii="Times New Roman" w:hAnsi="Times New Roman"/>
          <w:b/>
          <w:sz w:val="24"/>
        </w:rPr>
        <w:t>Tabla 2</w:t>
      </w:r>
    </w:p>
    <w:p>
      <w:pPr>
        <w:spacing w:after="120"/>
      </w:pPr>
      <w:r>
        <w:rPr>
          <w:rFonts w:ascii="Times New Roman" w:hAnsi="Times New Roman"/>
          <w:i/>
          <w:sz w:val="24"/>
        </w:rPr>
        <w:t>Características del corpus LSP utilizado en el estudio</w:t>
      </w:r>
    </w:p>
    <w:tbl>
      <w:tblPr>
        <w:tblStyle w:val="TableGrid"/>
        <w:tblW w:type="auto" w:w="0"/>
        <w:jc w:val="center"/>
        <w:tblLook w:firstColumn="1" w:firstRow="1" w:lastColumn="0" w:lastRow="0" w:noHBand="0" w:noVBand="1" w:val="04A0"/>
      </w:tblPr>
      <w:tblGrid>
        <w:gridCol w:w="4561"/>
        <w:gridCol w:w="4561"/>
      </w:tblGrid>
      <w:tr>
        <w:tc>
          <w:tcPr>
            <w:tcW w:type="dxa" w:w="5102"/>
            <w:shd w:val="clear" w:color="auto" w:fill="D9D9D9"/>
          </w:tcPr>
          <w:p>
            <w:r/>
            <w:r>
              <w:rPr>
                <w:rFonts w:ascii="Times New Roman" w:hAnsi="Times New Roman"/>
                <w:b/>
                <w:sz w:val="21"/>
              </w:rPr>
              <w:t>Característica</w:t>
            </w:r>
          </w:p>
        </w:tc>
        <w:tc>
          <w:tcPr>
            <w:tcW w:type="dxa" w:w="3969"/>
            <w:shd w:val="clear" w:color="auto" w:fill="D9D9D9"/>
          </w:tcPr>
          <w:p>
            <w:r/>
            <w:r>
              <w:rPr>
                <w:rFonts w:ascii="Times New Roman" w:hAnsi="Times New Roman"/>
                <w:b/>
                <w:sz w:val="21"/>
              </w:rPr>
              <w:t>Valor</w:t>
            </w:r>
          </w:p>
        </w:tc>
      </w:tr>
      <w:tr>
        <w:tc>
          <w:tcPr>
            <w:tcW w:type="dxa" w:w="5102"/>
          </w:tcPr>
          <w:p>
            <w:r/>
            <w:r>
              <w:rPr>
                <w:rFonts w:ascii="Times New Roman" w:hAnsi="Times New Roman"/>
                <w:sz w:val="21"/>
              </w:rPr>
              <w:t>N.° de clases</w:t>
            </w:r>
          </w:p>
        </w:tc>
        <w:tc>
          <w:tcPr>
            <w:tcW w:type="dxa" w:w="3969"/>
          </w:tcPr>
          <w:p>
            <w:r/>
            <w:r>
              <w:rPr>
                <w:rFonts w:ascii="Times New Roman" w:hAnsi="Times New Roman"/>
                <w:sz w:val="21"/>
              </w:rPr>
              <w:t>96</w:t>
            </w:r>
          </w:p>
        </w:tc>
      </w:tr>
      <w:tr>
        <w:tc>
          <w:tcPr>
            <w:tcW w:type="dxa" w:w="5102"/>
          </w:tcPr>
          <w:p>
            <w:r/>
            <w:r>
              <w:rPr>
                <w:rFonts w:ascii="Times New Roman" w:hAnsi="Times New Roman"/>
                <w:sz w:val="21"/>
              </w:rPr>
              <w:t>N.° total de muestras</w:t>
            </w:r>
          </w:p>
        </w:tc>
        <w:tc>
          <w:tcPr>
            <w:tcW w:type="dxa" w:w="3969"/>
          </w:tcPr>
          <w:p>
            <w:r/>
            <w:r>
              <w:rPr>
                <w:rFonts w:ascii="Times New Roman" w:hAnsi="Times New Roman"/>
                <w:sz w:val="21"/>
              </w:rPr>
              <w:t>4 176</w:t>
            </w:r>
          </w:p>
        </w:tc>
      </w:tr>
      <w:tr>
        <w:tc>
          <w:tcPr>
            <w:tcW w:type="dxa" w:w="5102"/>
          </w:tcPr>
          <w:p>
            <w:r/>
            <w:r>
              <w:rPr>
                <w:rFonts w:ascii="Times New Roman" w:hAnsi="Times New Roman"/>
                <w:sz w:val="21"/>
              </w:rPr>
              <w:t>Fotogramas por muestra</w:t>
            </w:r>
          </w:p>
        </w:tc>
        <w:tc>
          <w:tcPr>
            <w:tcW w:type="dxa" w:w="3969"/>
          </w:tcPr>
          <w:p>
            <w:r/>
            <w:r>
              <w:rPr>
                <w:rFonts w:ascii="Times New Roman" w:hAnsi="Times New Roman"/>
                <w:sz w:val="21"/>
              </w:rPr>
              <w:t>30</w:t>
            </w:r>
          </w:p>
        </w:tc>
      </w:tr>
      <w:tr>
        <w:tc>
          <w:tcPr>
            <w:tcW w:type="dxa" w:w="5102"/>
          </w:tcPr>
          <w:p>
            <w:r/>
            <w:r>
              <w:rPr>
                <w:rFonts w:ascii="Times New Roman" w:hAnsi="Times New Roman"/>
                <w:sz w:val="21"/>
              </w:rPr>
              <w:t>Dimensión del vector de características</w:t>
            </w:r>
          </w:p>
        </w:tc>
        <w:tc>
          <w:tcPr>
            <w:tcW w:type="dxa" w:w="3969"/>
          </w:tcPr>
          <w:p>
            <w:r/>
            <w:r>
              <w:rPr>
                <w:rFonts w:ascii="Times New Roman" w:hAnsi="Times New Roman"/>
                <w:sz w:val="21"/>
              </w:rPr>
              <w:t>150 (75 landmarks × 2 coordenadas x, y)</w:t>
            </w:r>
          </w:p>
        </w:tc>
      </w:tr>
      <w:tr>
        <w:tc>
          <w:tcPr>
            <w:tcW w:type="dxa" w:w="5102"/>
          </w:tcPr>
          <w:p>
            <w:r/>
            <w:r>
              <w:rPr>
                <w:rFonts w:ascii="Times New Roman" w:hAnsi="Times New Roman"/>
                <w:sz w:val="21"/>
              </w:rPr>
              <w:t>Partición entrenamiento / validación / prueba</w:t>
            </w:r>
          </w:p>
        </w:tc>
        <w:tc>
          <w:tcPr>
            <w:tcW w:type="dxa" w:w="3969"/>
          </w:tcPr>
          <w:p>
            <w:r/>
            <w:r>
              <w:rPr>
                <w:rFonts w:ascii="Times New Roman" w:hAnsi="Times New Roman"/>
                <w:sz w:val="21"/>
              </w:rPr>
              <w:t>70 % / 15 % / 15 %</w:t>
            </w:r>
          </w:p>
        </w:tc>
      </w:tr>
      <w:tr>
        <w:tc>
          <w:tcPr>
            <w:tcW w:type="dxa" w:w="5102"/>
          </w:tcPr>
          <w:p>
            <w:r/>
            <w:r>
              <w:rPr>
                <w:rFonts w:ascii="Times New Roman" w:hAnsi="Times New Roman"/>
                <w:sz w:val="21"/>
              </w:rPr>
              <w:t>N.° muestras conjunto de prueba</w:t>
            </w:r>
          </w:p>
        </w:tc>
        <w:tc>
          <w:tcPr>
            <w:tcW w:type="dxa" w:w="3969"/>
          </w:tcPr>
          <w:p>
            <w:r/>
            <w:r>
              <w:rPr>
                <w:rFonts w:ascii="Times New Roman" w:hAnsi="Times New Roman"/>
                <w:sz w:val="21"/>
              </w:rPr>
              <w:t>≈ 626</w:t>
            </w:r>
          </w:p>
        </w:tc>
      </w:tr>
      <w:tr>
        <w:tc>
          <w:tcPr>
            <w:tcW w:type="dxa" w:w="5102"/>
          </w:tcPr>
          <w:p>
            <w:r/>
            <w:r>
              <w:rPr>
                <w:rFonts w:ascii="Times New Roman" w:hAnsi="Times New Roman"/>
                <w:sz w:val="21"/>
              </w:rPr>
              <w:t>N.° muestras holdout externo (por grupo de señante)</w:t>
            </w:r>
          </w:p>
        </w:tc>
        <w:tc>
          <w:tcPr>
            <w:tcW w:type="dxa" w:w="3969"/>
          </w:tcPr>
          <w:p>
            <w:r/>
            <w:r>
              <w:rPr>
                <w:rFonts w:ascii="Times New Roman" w:hAnsi="Times New Roman"/>
                <w:sz w:val="21"/>
              </w:rPr>
              <w:t>≈ 835 (20 % del total)</w:t>
            </w:r>
          </w:p>
        </w:tc>
      </w:tr>
      <w:tr>
        <w:tc>
          <w:tcPr>
            <w:tcW w:type="dxa" w:w="5102"/>
          </w:tcPr>
          <w:p>
            <w:r/>
            <w:r>
              <w:rPr>
                <w:rFonts w:ascii="Times New Roman" w:hAnsi="Times New Roman"/>
                <w:sz w:val="21"/>
              </w:rPr>
              <w:t>Semilla aleatoria (StratifiedShuffleSplit)</w:t>
            </w:r>
          </w:p>
        </w:tc>
        <w:tc>
          <w:tcPr>
            <w:tcW w:type="dxa" w:w="3969"/>
          </w:tcPr>
          <w:p>
            <w:r/>
            <w:r>
              <w:rPr>
                <w:rFonts w:ascii="Times New Roman" w:hAnsi="Times New Roman"/>
                <w:sz w:val="21"/>
              </w:rPr>
              <w:t>42</w:t>
            </w:r>
          </w:p>
        </w:tc>
      </w:tr>
    </w:tbl>
    <w:p>
      <w:pPr>
        <w:spacing w:before="80" w:after="280"/>
      </w:pPr>
      <w:r>
        <w:rPr>
          <w:rFonts w:ascii="Times New Roman" w:hAnsi="Times New Roman"/>
          <w:i/>
          <w:sz w:val="21"/>
        </w:rPr>
        <w:t xml:space="preserve">Nota. </w:t>
      </w:r>
      <w:r>
        <w:rPr>
          <w:rFonts w:ascii="Times New Roman" w:hAnsi="Times New Roman"/>
          <w:sz w:val="21"/>
        </w:rPr>
        <w:t>LSP = Lengua de Señas Peruana. El holdout externo fue separado por grupo de señante antes del inicio del entrenamiento. La partición de prueba fue evaluada una única vez por configuración.</w:t>
      </w:r>
    </w:p>
    <w:p>
      <w:pPr>
        <w:spacing w:before="240" w:after="40"/>
        <w:jc w:val="center"/>
      </w:pPr>
      <w:r>
        <w:rPr>
          <w:rFonts w:ascii="Times New Roman" w:hAnsi="Times New Roman"/>
          <w:b/>
          <w:sz w:val="24"/>
        </w:rPr>
        <w:t>Figura 1</w:t>
      </w:r>
    </w:p>
    <w:p>
      <w:pPr>
        <w:spacing w:after="160"/>
        <w:jc w:val="center"/>
      </w:pPr>
      <w:r>
        <w:rPr>
          <w:rFonts w:ascii="Times New Roman" w:hAnsi="Times New Roman"/>
          <w:i/>
          <w:sz w:val="24"/>
        </w:rPr>
        <w:t>Partición del corpus LSP</w:t>
      </w:r>
    </w:p>
    <w:p>
      <w:pPr>
        <w:jc w:val="center"/>
      </w:pPr>
      <w:r>
        <w:drawing>
          <wp:inline xmlns:a="http://schemas.openxmlformats.org/drawingml/2006/main" xmlns:pic="http://schemas.openxmlformats.org/drawingml/2006/picture">
            <wp:extent cx="4206240" cy="3045898"/>
            <wp:docPr id="1" name="Picture 1"/>
            <wp:cNvGraphicFramePr>
              <a:graphicFrameLocks noChangeAspect="1"/>
            </wp:cNvGraphicFramePr>
            <a:graphic>
              <a:graphicData uri="http://schemas.openxmlformats.org/drawingml/2006/picture">
                <pic:pic>
                  <pic:nvPicPr>
                    <pic:cNvPr id="0" name="fig_tabla1_particion.png"/>
                    <pic:cNvPicPr/>
                  </pic:nvPicPr>
                  <pic:blipFill>
                    <a:blip r:embed="rId9"/>
                    <a:stretch>
                      <a:fillRect/>
                    </a:stretch>
                  </pic:blipFill>
                  <pic:spPr>
                    <a:xfrm>
                      <a:off x="0" y="0"/>
                      <a:ext cx="4206240" cy="3045898"/>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70/15/15 — partición estándar del proyecto, con semilla fija (42) para reproducibilidad.</w:t>
      </w:r>
    </w:p>
    <w:p>
      <w:pPr>
        <w:pStyle w:val="Heading2"/>
      </w:pPr>
      <w:r>
        <w:t>3.3 Arquitectura del Sistema</w:t>
      </w:r>
    </w:p>
    <w:p>
      <w:pPr>
        <w:spacing w:after="120"/>
        <w:ind w:firstLine="709"/>
      </w:pPr>
      <w:r>
        <w:rPr>
          <w:rFonts w:ascii="Times New Roman" w:hAnsi="Times New Roman"/>
          <w:b w:val="0"/>
          <w:i w:val="0"/>
          <w:sz w:val="24"/>
        </w:rPr>
        <w:t>El sistema está compuesto por cinco módulos funcionales organizados en un pipeline secuencial. La Figura 2 ilustra el flujo completo desde la captura hasta la salida de texto.</w:t>
      </w:r>
    </w:p>
    <w:p>
      <w:pPr>
        <w:spacing w:before="240" w:after="40"/>
        <w:jc w:val="center"/>
      </w:pPr>
      <w:r>
        <w:rPr>
          <w:rFonts w:ascii="Times New Roman" w:hAnsi="Times New Roman"/>
          <w:b/>
          <w:sz w:val="24"/>
        </w:rPr>
        <w:t>Figura 2</w:t>
      </w:r>
    </w:p>
    <w:p>
      <w:pPr>
        <w:spacing w:after="160"/>
        <w:jc w:val="center"/>
      </w:pPr>
      <w:r>
        <w:rPr>
          <w:rFonts w:ascii="Times New Roman" w:hAnsi="Times New Roman"/>
          <w:i/>
          <w:sz w:val="24"/>
        </w:rPr>
        <w:t>Arquitectura del pipeline de traducción LSP a texto castellano</w:t>
      </w:r>
    </w:p>
    <w:p>
      <w:pPr>
        <w:jc w:val="center"/>
      </w:pPr>
      <w:r>
        <w:drawing>
          <wp:inline xmlns:a="http://schemas.openxmlformats.org/drawingml/2006/main" xmlns:pic="http://schemas.openxmlformats.org/drawingml/2006/picture">
            <wp:extent cx="4389120" cy="5254580"/>
            <wp:docPr id="2" name="Picture 2"/>
            <wp:cNvGraphicFramePr>
              <a:graphicFrameLocks noChangeAspect="1"/>
            </wp:cNvGraphicFramePr>
            <a:graphic>
              <a:graphicData uri="http://schemas.openxmlformats.org/drawingml/2006/picture">
                <pic:pic>
                  <pic:nvPicPr>
                    <pic:cNvPr id="0" name="fig_arquitectura_pipeline.png"/>
                    <pic:cNvPicPr/>
                  </pic:nvPicPr>
                  <pic:blipFill>
                    <a:blip r:embed="rId10"/>
                    <a:stretch>
                      <a:fillRect/>
                    </a:stretch>
                  </pic:blipFill>
                  <pic:spPr>
                    <a:xfrm>
                      <a:off x="0" y="0"/>
                      <a:ext cx="4389120" cy="525458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El costo dominante del pipeline es MediaPipe Holistic (~55 ms/frame). La inferencia del modelo ONNX consume &lt; 1 ms. La segmentación por pausas (segmentacion.py) está implementada en la demo y en Spaces; su integración en api/main.py es trabajo pendiente (Riesgo R9).</w:t>
      </w:r>
    </w:p>
    <w:p>
      <w:pPr>
        <w:spacing w:after="120"/>
      </w:pPr>
      <w:r>
        <w:rPr>
          <w:rFonts w:ascii="Times New Roman" w:hAnsi="Times New Roman"/>
          <w:b w:val="0"/>
          <w:i w:val="0"/>
          <w:sz w:val="24"/>
        </w:rPr>
        <w:t>Los cinco módulos funcionales del sistema son:</w:t>
      </w:r>
    </w:p>
    <w:p>
      <w:pPr>
        <w:pStyle w:val="ListBullet"/>
      </w:pPr>
      <w:r>
        <w:rPr>
          <w:rFonts w:ascii="Times New Roman" w:hAnsi="Times New Roman"/>
          <w:b/>
          <w:i w:val="0"/>
          <w:sz w:val="24"/>
        </w:rPr>
        <w:t xml:space="preserve">Módulo de captura: </w:t>
      </w:r>
      <w:r>
        <w:rPr>
          <w:rFonts w:ascii="Times New Roman" w:hAnsi="Times New Roman"/>
          <w:b w:val="0"/>
          <w:i w:val="0"/>
          <w:sz w:val="24"/>
        </w:rPr>
        <w:t>Adquisición de fotogramas desde cámara web o video pregrabado (MP4, AVI, MOV). Transmisión al backend vía WebSocket o REST.</w:t>
      </w:r>
    </w:p>
    <w:p>
      <w:pPr>
        <w:pStyle w:val="ListBullet"/>
      </w:pPr>
      <w:r>
        <w:rPr>
          <w:rFonts w:ascii="Times New Roman" w:hAnsi="Times New Roman"/>
          <w:b/>
          <w:i w:val="0"/>
          <w:sz w:val="24"/>
        </w:rPr>
        <w:t xml:space="preserve">Módulo de extracción de características: </w:t>
      </w:r>
      <w:r>
        <w:rPr>
          <w:rFonts w:ascii="Times New Roman" w:hAnsi="Times New Roman"/>
          <w:b w:val="0"/>
          <w:i w:val="0"/>
          <w:sz w:val="24"/>
        </w:rPr>
        <w:t>Detección de 75 landmarks corporales con MediaPipe Holistic y normalización z-score (src/features/landmarks.py, compartido entre API y demo).</w:t>
      </w:r>
    </w:p>
    <w:p>
      <w:pPr>
        <w:pStyle w:val="ListBullet"/>
      </w:pPr>
      <w:r>
        <w:rPr>
          <w:rFonts w:ascii="Times New Roman" w:hAnsi="Times New Roman"/>
          <w:b/>
          <w:i w:val="0"/>
          <w:sz w:val="24"/>
        </w:rPr>
        <w:t xml:space="preserve">Módulo de segmentación: </w:t>
      </w:r>
      <w:r>
        <w:rPr>
          <w:rFonts w:ascii="Times New Roman" w:hAnsi="Times New Roman"/>
          <w:b w:val="0"/>
          <w:i w:val="0"/>
          <w:sz w:val="24"/>
        </w:rPr>
        <w:t>Detección de pausas entre señas mediante análisis del movimiento de landmarks de las manos (src/features/segmentacion.py). Activo en demo y Spaces; pendiente en api/main.py.</w:t>
      </w:r>
    </w:p>
    <w:p>
      <w:pPr>
        <w:pStyle w:val="ListBullet"/>
      </w:pPr>
      <w:r>
        <w:rPr>
          <w:rFonts w:ascii="Times New Roman" w:hAnsi="Times New Roman"/>
          <w:b/>
          <w:i w:val="0"/>
          <w:sz w:val="24"/>
        </w:rPr>
        <w:t xml:space="preserve">Módulo de clasificación: </w:t>
      </w:r>
      <w:r>
        <w:rPr>
          <w:rFonts w:ascii="Times New Roman" w:hAnsi="Times New Roman"/>
          <w:b w:val="0"/>
          <w:i w:val="0"/>
          <w:sz w:val="24"/>
        </w:rPr>
        <w:t>Red BiLSTM con atención, exportada a ONNX (3.9 MB, opset 17). 96 clases, inferencia &lt; 1 ms en CPU estándar.</w:t>
      </w:r>
    </w:p>
    <w:p>
      <w:pPr>
        <w:pStyle w:val="ListBullet"/>
      </w:pPr>
      <w:r>
        <w:rPr>
          <w:rFonts w:ascii="Times New Roman" w:hAnsi="Times New Roman"/>
          <w:b/>
          <w:i w:val="0"/>
          <w:sz w:val="24"/>
        </w:rPr>
        <w:t xml:space="preserve">Módulo de interfaz y despliegue: </w:t>
      </w:r>
      <w:r>
        <w:rPr>
          <w:rFonts w:ascii="Times New Roman" w:hAnsi="Times New Roman"/>
          <w:b w:val="0"/>
          <w:i w:val="0"/>
          <w:sz w:val="24"/>
        </w:rPr>
        <w:t>Backend FastAPI + WebSocket, demo Gradio con TTS, despliegue público en HuggingFace Spaces sin instalación para el usuario final.</w:t>
      </w:r>
    </w:p>
    <w:p>
      <w:pPr>
        <w:pStyle w:val="Heading2"/>
      </w:pPr>
      <w:r>
        <w:t>3.4 Proceso de Entrenamiento y Trayectoria Experimental</w:t>
      </w:r>
    </w:p>
    <w:p>
      <w:pPr>
        <w:spacing w:after="120"/>
        <w:ind w:firstLine="709"/>
      </w:pPr>
      <w:r>
        <w:rPr>
          <w:rFonts w:ascii="Times New Roman" w:hAnsi="Times New Roman"/>
          <w:b w:val="0"/>
          <w:i w:val="0"/>
          <w:sz w:val="24"/>
        </w:rPr>
        <w:t>El proceso de entrenamiento se ejecutó a lo largo de 27 sprints probando 24 configuraciones. La optimización de hiperparámetros utilizó Optuna con el algoritmo TPE (50 ensayos por configuración), con regularización (label smoothing, dropout) y calibración de confianza (Temperature Scaling). La Figura 3 muestra la trayectoria completa del F1-macro a lo largo de los 24 sprints con métrica registrada un gráfico generado en vivo a partir de logs/runs.csv, más detallado que el resumen de hitos de la Tabla 3.</w:t>
      </w:r>
    </w:p>
    <w:p>
      <w:pPr>
        <w:spacing w:before="240" w:after="40"/>
        <w:jc w:val="center"/>
      </w:pPr>
      <w:r>
        <w:rPr>
          <w:rFonts w:ascii="Times New Roman" w:hAnsi="Times New Roman"/>
          <w:b/>
          <w:sz w:val="24"/>
        </w:rPr>
        <w:t>Figura 3</w:t>
      </w:r>
    </w:p>
    <w:p>
      <w:pPr>
        <w:spacing w:after="160"/>
        <w:jc w:val="center"/>
      </w:pPr>
      <w:r>
        <w:rPr>
          <w:rFonts w:ascii="Times New Roman" w:hAnsi="Times New Roman"/>
          <w:i/>
          <w:sz w:val="24"/>
        </w:rPr>
        <w:t>Evolución del F1-macro por sprint (S5–S27, datos reales de logs/runs.csv)</w:t>
      </w:r>
    </w:p>
    <w:p>
      <w:pPr>
        <w:jc w:val="center"/>
      </w:pPr>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fig_f1_evolucion.png"/>
                    <pic:cNvPicPr/>
                  </pic:nvPicPr>
                  <pic:blipFill>
                    <a:blip r:embed="rId11"/>
                    <a:stretch>
                      <a:fillRect/>
                    </a:stretch>
                  </pic:blipFill>
                  <pic:spPr>
                    <a:xfrm>
                      <a:off x="0" y="0"/>
                      <a:ext cx="5303520" cy="2410691"/>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Trayectoria completa de los 24 sprints con F1-test registrado, sin filtrar. No es monótona: los sprints S14–S25 muestran altibajos por exploración de arquitecturas y fuentes de datos distintas. El punto v3 (S27, F1=0.4563) fue el mejor histórico pero su checkpoint fue sobrescrito por v4 durante el entrenamiento y no es recuperable.</w:t>
      </w:r>
    </w:p>
    <w:p>
      <w:pPr>
        <w:spacing w:before="200" w:after="40"/>
      </w:pPr>
      <w:r>
        <w:rPr>
          <w:rFonts w:ascii="Times New Roman" w:hAnsi="Times New Roman"/>
          <w:b/>
          <w:sz w:val="24"/>
        </w:rPr>
        <w:t>Tabla 3</w:t>
      </w:r>
    </w:p>
    <w:p>
      <w:pPr>
        <w:spacing w:after="120"/>
      </w:pPr>
      <w:r>
        <w:rPr>
          <w:rFonts w:ascii="Times New Roman" w:hAnsi="Times New Roman"/>
          <w:i/>
          <w:sz w:val="24"/>
        </w:rPr>
        <w:t>Trayectoria del modelo BiLSTM a lo largo de 27 sprints de desarrollo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835"/>
            <w:shd w:val="clear" w:color="auto" w:fill="D9D9D9"/>
          </w:tcPr>
          <w:p>
            <w:r/>
            <w:r>
              <w:rPr>
                <w:rFonts w:ascii="Times New Roman" w:hAnsi="Times New Roman"/>
                <w:b/>
                <w:sz w:val="21"/>
              </w:rPr>
              <w:t>Hito</w:t>
            </w:r>
          </w:p>
        </w:tc>
        <w:tc>
          <w:tcPr>
            <w:tcW w:type="dxa" w:w="1134"/>
            <w:shd w:val="clear" w:color="auto" w:fill="D9D9D9"/>
          </w:tcPr>
          <w:p>
            <w:r/>
            <w:r>
              <w:rPr>
                <w:rFonts w:ascii="Times New Roman" w:hAnsi="Times New Roman"/>
                <w:b/>
                <w:sz w:val="21"/>
              </w:rPr>
              <w:t>Sprint</w:t>
            </w:r>
          </w:p>
        </w:tc>
        <w:tc>
          <w:tcPr>
            <w:tcW w:type="dxa" w:w="1134"/>
            <w:shd w:val="clear" w:color="auto" w:fill="D9D9D9"/>
          </w:tcPr>
          <w:p>
            <w:r/>
            <w:r>
              <w:rPr>
                <w:rFonts w:ascii="Times New Roman" w:hAnsi="Times New Roman"/>
                <w:b/>
                <w:sz w:val="21"/>
              </w:rPr>
              <w:t>F1-macro</w:t>
            </w:r>
          </w:p>
        </w:tc>
        <w:tc>
          <w:tcPr>
            <w:tcW w:type="dxa" w:w="1417"/>
            <w:shd w:val="clear" w:color="auto" w:fill="D9D9D9"/>
          </w:tcPr>
          <w:p>
            <w:r/>
            <w:r>
              <w:rPr>
                <w:rFonts w:ascii="Times New Roman" w:hAnsi="Times New Roman"/>
                <w:b/>
                <w:sz w:val="21"/>
              </w:rPr>
              <w:t>ΔF1 holdout</w:t>
            </w:r>
          </w:p>
        </w:tc>
        <w:tc>
          <w:tcPr>
            <w:tcW w:type="dxa" w:w="2551"/>
            <w:shd w:val="clear" w:color="auto" w:fill="D9D9D9"/>
          </w:tcPr>
          <w:p>
            <w:r/>
            <w:r>
              <w:rPr>
                <w:rFonts w:ascii="Times New Roman" w:hAnsi="Times New Roman"/>
                <w:b/>
                <w:sz w:val="21"/>
              </w:rPr>
              <w:t>Observación</w:t>
            </w:r>
          </w:p>
        </w:tc>
      </w:tr>
      <w:tr>
        <w:tc>
          <w:tcPr>
            <w:tcW w:type="dxa" w:w="2835"/>
          </w:tcPr>
          <w:p>
            <w:r/>
            <w:r>
              <w:rPr>
                <w:rFonts w:ascii="Times New Roman" w:hAnsi="Times New Roman"/>
                <w:sz w:val="21"/>
              </w:rPr>
              <w:t>Baseline (Regresión Logística)</w:t>
            </w:r>
          </w:p>
        </w:tc>
        <w:tc>
          <w:tcPr>
            <w:tcW w:type="dxa" w:w="1134"/>
          </w:tcPr>
          <w:p>
            <w:r/>
            <w:r>
              <w:rPr>
                <w:rFonts w:ascii="Times New Roman" w:hAnsi="Times New Roman"/>
                <w:sz w:val="21"/>
              </w:rPr>
              <w:t>S5</w:t>
            </w:r>
          </w:p>
        </w:tc>
        <w:tc>
          <w:tcPr>
            <w:tcW w:type="dxa" w:w="1134"/>
          </w:tcPr>
          <w:p>
            <w:r/>
            <w:r>
              <w:rPr>
                <w:rFonts w:ascii="Times New Roman" w:hAnsi="Times New Roman"/>
                <w:sz w:val="21"/>
              </w:rPr>
              <w:t>0.0058</w:t>
            </w:r>
          </w:p>
        </w:tc>
        <w:tc>
          <w:tcPr>
            <w:tcW w:type="dxa" w:w="1417"/>
          </w:tcPr>
          <w:p>
            <w:r/>
            <w:r>
              <w:rPr>
                <w:rFonts w:ascii="Times New Roman" w:hAnsi="Times New Roman"/>
                <w:sz w:val="21"/>
              </w:rPr>
              <w:t>—</w:t>
            </w:r>
          </w:p>
        </w:tc>
        <w:tc>
          <w:tcPr>
            <w:tcW w:type="dxa" w:w="2551"/>
          </w:tcPr>
          <w:p>
            <w:r/>
            <w:r>
              <w:rPr>
                <w:rFonts w:ascii="Times New Roman" w:hAnsi="Times New Roman"/>
                <w:sz w:val="21"/>
              </w:rPr>
              <w:t>Punto de partida</w:t>
            </w:r>
          </w:p>
        </w:tc>
      </w:tr>
      <w:tr>
        <w:tc>
          <w:tcPr>
            <w:tcW w:type="dxa" w:w="2835"/>
          </w:tcPr>
          <w:p>
            <w:r/>
            <w:r>
              <w:rPr>
                <w:rFonts w:ascii="Times New Roman" w:hAnsi="Times New Roman"/>
                <w:sz w:val="21"/>
              </w:rPr>
              <w:t>Primer F1 útil</w:t>
            </w:r>
          </w:p>
        </w:tc>
        <w:tc>
          <w:tcPr>
            <w:tcW w:type="dxa" w:w="1134"/>
          </w:tcPr>
          <w:p>
            <w:r/>
            <w:r>
              <w:rPr>
                <w:rFonts w:ascii="Times New Roman" w:hAnsi="Times New Roman"/>
                <w:sz w:val="21"/>
              </w:rPr>
              <w:t>S13</w:t>
            </w:r>
          </w:p>
        </w:tc>
        <w:tc>
          <w:tcPr>
            <w:tcW w:type="dxa" w:w="1134"/>
          </w:tcPr>
          <w:p>
            <w:r/>
            <w:r>
              <w:rPr>
                <w:rFonts w:ascii="Times New Roman" w:hAnsi="Times New Roman"/>
                <w:sz w:val="21"/>
              </w:rPr>
              <w:t>0.3696</w:t>
            </w:r>
          </w:p>
        </w:tc>
        <w:tc>
          <w:tcPr>
            <w:tcW w:type="dxa" w:w="1417"/>
          </w:tcPr>
          <w:p>
            <w:r/>
            <w:r>
              <w:rPr>
                <w:rFonts w:ascii="Times New Roman" w:hAnsi="Times New Roman"/>
                <w:sz w:val="21"/>
              </w:rPr>
              <w:t>—</w:t>
            </w:r>
          </w:p>
        </w:tc>
        <w:tc>
          <w:tcPr>
            <w:tcW w:type="dxa" w:w="2551"/>
          </w:tcPr>
          <w:p>
            <w:r/>
            <w:r>
              <w:rPr>
                <w:rFonts w:ascii="Times New Roman" w:hAnsi="Times New Roman"/>
                <w:sz w:val="21"/>
              </w:rPr>
              <w:t>Primera configuración significativa</w:t>
            </w:r>
          </w:p>
        </w:tc>
      </w:tr>
      <w:tr>
        <w:tc>
          <w:tcPr>
            <w:tcW w:type="dxa" w:w="2835"/>
          </w:tcPr>
          <w:p>
            <w:r/>
            <w:r>
              <w:rPr>
                <w:rFonts w:ascii="Times New Roman" w:hAnsi="Times New Roman"/>
                <w:sz w:val="21"/>
              </w:rPr>
              <w:t>Mejor resultado pre-S27</w:t>
            </w:r>
          </w:p>
        </w:tc>
        <w:tc>
          <w:tcPr>
            <w:tcW w:type="dxa" w:w="1134"/>
          </w:tcPr>
          <w:p>
            <w:r/>
            <w:r>
              <w:rPr>
                <w:rFonts w:ascii="Times New Roman" w:hAnsi="Times New Roman"/>
                <w:sz w:val="21"/>
              </w:rPr>
              <w:t>S26</w:t>
            </w:r>
          </w:p>
        </w:tc>
        <w:tc>
          <w:tcPr>
            <w:tcW w:type="dxa" w:w="1134"/>
          </w:tcPr>
          <w:p>
            <w:r/>
            <w:r>
              <w:rPr>
                <w:rFonts w:ascii="Times New Roman" w:hAnsi="Times New Roman"/>
                <w:sz w:val="21"/>
              </w:rPr>
              <w:t>0.4098</w:t>
            </w:r>
          </w:p>
        </w:tc>
        <w:tc>
          <w:tcPr>
            <w:tcW w:type="dxa" w:w="1417"/>
          </w:tcPr>
          <w:p>
            <w:r/>
            <w:r>
              <w:rPr>
                <w:rFonts w:ascii="Times New Roman" w:hAnsi="Times New Roman"/>
                <w:sz w:val="21"/>
              </w:rPr>
              <w:t>0.1663</w:t>
            </w:r>
          </w:p>
        </w:tc>
        <w:tc>
          <w:tcPr>
            <w:tcW w:type="dxa" w:w="2551"/>
          </w:tcPr>
          <w:p>
            <w:r/>
            <w:r>
              <w:rPr>
                <w:rFonts w:ascii="Times New Roman" w:hAnsi="Times New Roman"/>
                <w:sz w:val="21"/>
              </w:rPr>
              <w:t>HE3 fallaba (ΔF1 &gt; 0.15)</w:t>
            </w:r>
          </w:p>
        </w:tc>
      </w:tr>
      <w:tr>
        <w:tc>
          <w:tcPr>
            <w:tcW w:type="dxa" w:w="2835"/>
          </w:tcPr>
          <w:p>
            <w:r/>
            <w:r>
              <w:rPr>
                <w:rFonts w:ascii="Times New Roman" w:hAnsi="Times New Roman"/>
                <w:sz w:val="21"/>
              </w:rPr>
              <w:t>Mejor F1 histórico</w:t>
            </w:r>
          </w:p>
        </w:tc>
        <w:tc>
          <w:tcPr>
            <w:tcW w:type="dxa" w:w="1134"/>
          </w:tcPr>
          <w:p>
            <w:r/>
            <w:r>
              <w:rPr>
                <w:rFonts w:ascii="Times New Roman" w:hAnsi="Times New Roman"/>
                <w:sz w:val="21"/>
              </w:rPr>
              <w:t>S27-v3</w:t>
            </w:r>
          </w:p>
        </w:tc>
        <w:tc>
          <w:tcPr>
            <w:tcW w:type="dxa" w:w="1134"/>
          </w:tcPr>
          <w:p>
            <w:r/>
            <w:r>
              <w:rPr>
                <w:rFonts w:ascii="Times New Roman" w:hAnsi="Times New Roman"/>
                <w:sz w:val="21"/>
              </w:rPr>
              <w:t>0.4563</w:t>
            </w:r>
          </w:p>
        </w:tc>
        <w:tc>
          <w:tcPr>
            <w:tcW w:type="dxa" w:w="1417"/>
          </w:tcPr>
          <w:p>
            <w:r/>
            <w:r>
              <w:rPr>
                <w:rFonts w:ascii="Times New Roman" w:hAnsi="Times New Roman"/>
                <w:sz w:val="21"/>
              </w:rPr>
              <w:t>0.0785</w:t>
            </w:r>
          </w:p>
        </w:tc>
        <w:tc>
          <w:tcPr>
            <w:tcW w:type="dxa" w:w="2551"/>
          </w:tcPr>
          <w:p>
            <w:r/>
            <w:r>
              <w:rPr>
                <w:rFonts w:ascii="Times New Roman" w:hAnsi="Times New Roman"/>
                <w:sz w:val="21"/>
              </w:rPr>
              <w:t>Checkpoint sobrescrito por v4</w:t>
            </w:r>
          </w:p>
        </w:tc>
      </w:tr>
      <w:tr>
        <w:tc>
          <w:tcPr>
            <w:tcW w:type="dxa" w:w="2835"/>
          </w:tcPr>
          <w:p>
            <w:r/>
            <w:r>
              <w:rPr>
                <w:rFonts w:ascii="Times New Roman" w:hAnsi="Times New Roman"/>
                <w:sz w:val="21"/>
              </w:rPr>
              <w:t>Modelo activo (v4)</w:t>
            </w:r>
          </w:p>
        </w:tc>
        <w:tc>
          <w:tcPr>
            <w:tcW w:type="dxa" w:w="1134"/>
          </w:tcPr>
          <w:p>
            <w:r/>
            <w:r>
              <w:rPr>
                <w:rFonts w:ascii="Times New Roman" w:hAnsi="Times New Roman"/>
                <w:sz w:val="21"/>
              </w:rPr>
              <w:t>S27-v4</w:t>
            </w:r>
          </w:p>
        </w:tc>
        <w:tc>
          <w:tcPr>
            <w:tcW w:type="dxa" w:w="1134"/>
          </w:tcPr>
          <w:p>
            <w:r/>
            <w:r>
              <w:rPr>
                <w:rFonts w:ascii="Times New Roman" w:hAnsi="Times New Roman"/>
                <w:sz w:val="21"/>
              </w:rPr>
              <w:t>0.4426</w:t>
            </w:r>
          </w:p>
        </w:tc>
        <w:tc>
          <w:tcPr>
            <w:tcW w:type="dxa" w:w="1417"/>
          </w:tcPr>
          <w:p>
            <w:r/>
            <w:r>
              <w:rPr>
                <w:rFonts w:ascii="Times New Roman" w:hAnsi="Times New Roman"/>
                <w:sz w:val="21"/>
              </w:rPr>
              <w:t>0.0406</w:t>
            </w:r>
          </w:p>
        </w:tc>
        <w:tc>
          <w:tcPr>
            <w:tcW w:type="dxa" w:w="2551"/>
          </w:tcPr>
          <w:p>
            <w:r/>
            <w:r>
              <w:rPr>
                <w:rFonts w:ascii="Times New Roman" w:hAnsi="Times New Roman"/>
                <w:sz w:val="21"/>
              </w:rPr>
              <w:t>Mejor generalización histórica</w:t>
            </w:r>
          </w:p>
        </w:tc>
      </w:tr>
    </w:tbl>
    <w:p>
      <w:pPr>
        <w:spacing w:before="80" w:after="280"/>
      </w:pPr>
      <w:r>
        <w:rPr>
          <w:rFonts w:ascii="Times New Roman" w:hAnsi="Times New Roman"/>
          <w:i/>
          <w:sz w:val="21"/>
        </w:rPr>
        <w:t xml:space="preserve">Nota. </w:t>
      </w:r>
      <w:r>
        <w:rPr>
          <w:rFonts w:ascii="Times New Roman" w:hAnsi="Times New Roman"/>
          <w:sz w:val="21"/>
        </w:rPr>
        <w:t>El checkpoint v3 no es recuperable. ΔF1 = F1-macro (prueba interna) − F1-macro (holdout externo). Cumple el umbral ΔF1 ≤ 0.15 con holgura de 3.7×. F1-macro calculado sobre el conjunto de prueba (15 %, N ≈ 626 muestras, semilla = 42).</w:t>
      </w:r>
    </w:p>
    <w:p>
      <w:pPr>
        <w:pStyle w:val="Heading2"/>
      </w:pPr>
      <w:r>
        <w:t>3.5 Plan de Despliegue</w:t>
      </w:r>
    </w:p>
    <w:p>
      <w:pPr>
        <w:pStyle w:val="Heading3"/>
      </w:pPr>
      <w:r>
        <w:t>3.5.1 Estado de los Componentes</w:t>
      </w:r>
    </w:p>
    <w:p>
      <w:pPr>
        <w:spacing w:after="120"/>
        <w:ind w:firstLine="709"/>
      </w:pPr>
      <w:r>
        <w:rPr>
          <w:rFonts w:ascii="Times New Roman" w:hAnsi="Times New Roman"/>
          <w:b w:val="0"/>
          <w:i w:val="0"/>
          <w:sz w:val="24"/>
        </w:rPr>
        <w:t>La Tabla 4 resume el estado actual de cada componente del sistema, verificado mediante ejecución en vivo al cierre del Sprint 13 de entregables (S13).</w:t>
      </w:r>
    </w:p>
    <w:p>
      <w:pPr>
        <w:spacing w:before="200" w:after="40"/>
      </w:pPr>
      <w:r>
        <w:rPr>
          <w:rFonts w:ascii="Times New Roman" w:hAnsi="Times New Roman"/>
          <w:b/>
          <w:sz w:val="24"/>
        </w:rPr>
        <w:t>Tabla 4</w:t>
      </w:r>
    </w:p>
    <w:p>
      <w:pPr>
        <w:spacing w:after="120"/>
      </w:pPr>
      <w:r>
        <w:rPr>
          <w:rFonts w:ascii="Times New Roman" w:hAnsi="Times New Roman"/>
          <w:i/>
          <w:sz w:val="24"/>
        </w:rPr>
        <w:t>Estado de los componentes del sistema al cierre del Sprint 13 de entregables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D9D9D9"/>
          </w:tcPr>
          <w:p>
            <w:r/>
            <w:r>
              <w:rPr>
                <w:rFonts w:ascii="Times New Roman" w:hAnsi="Times New Roman"/>
                <w:b/>
                <w:sz w:val="21"/>
              </w:rPr>
              <w:t>Componente</w:t>
            </w:r>
          </w:p>
        </w:tc>
        <w:tc>
          <w:tcPr>
            <w:tcW w:type="dxa" w:w="2835"/>
            <w:shd w:val="clear" w:color="auto" w:fill="D9D9D9"/>
          </w:tcPr>
          <w:p>
            <w:r/>
            <w:r>
              <w:rPr>
                <w:rFonts w:ascii="Times New Roman" w:hAnsi="Times New Roman"/>
                <w:b/>
                <w:sz w:val="21"/>
              </w:rPr>
              <w:t>Archivo</w:t>
            </w:r>
          </w:p>
        </w:tc>
        <w:tc>
          <w:tcPr>
            <w:tcW w:type="dxa" w:w="1417"/>
            <w:shd w:val="clear" w:color="auto" w:fill="D9D9D9"/>
          </w:tcPr>
          <w:p>
            <w:r/>
            <w:r>
              <w:rPr>
                <w:rFonts w:ascii="Times New Roman" w:hAnsi="Times New Roman"/>
                <w:b/>
                <w:sz w:val="21"/>
              </w:rPr>
              <w:t>Estado</w:t>
            </w:r>
          </w:p>
        </w:tc>
        <w:tc>
          <w:tcPr>
            <w:tcW w:type="dxa" w:w="2835"/>
            <w:shd w:val="clear" w:color="auto" w:fill="D9D9D9"/>
          </w:tcPr>
          <w:p>
            <w:r/>
            <w:r>
              <w:rPr>
                <w:rFonts w:ascii="Times New Roman" w:hAnsi="Times New Roman"/>
                <w:b/>
                <w:sz w:val="21"/>
              </w:rPr>
              <w:t>Observación</w:t>
            </w:r>
          </w:p>
        </w:tc>
      </w:tr>
      <w:tr>
        <w:tc>
          <w:tcPr>
            <w:tcW w:type="dxa" w:w="1984"/>
          </w:tcPr>
          <w:p>
            <w:r/>
            <w:r>
              <w:rPr>
                <w:rFonts w:ascii="Times New Roman" w:hAnsi="Times New Roman"/>
                <w:sz w:val="21"/>
              </w:rPr>
              <w:t>Extracción de landmarks</w:t>
            </w:r>
          </w:p>
        </w:tc>
        <w:tc>
          <w:tcPr>
            <w:tcW w:type="dxa" w:w="2835"/>
          </w:tcPr>
          <w:p>
            <w:r/>
            <w:r>
              <w:rPr>
                <w:rFonts w:ascii="Times New Roman" w:hAnsi="Times New Roman"/>
                <w:sz w:val="21"/>
              </w:rPr>
              <w:t>src/features/landmarks.py</w:t>
            </w:r>
          </w:p>
        </w:tc>
        <w:tc>
          <w:tcPr>
            <w:tcW w:type="dxa" w:w="1417"/>
          </w:tcPr>
          <w:p>
            <w:r/>
            <w:r>
              <w:rPr>
                <w:rFonts w:ascii="Times New Roman" w:hAnsi="Times New Roman"/>
                <w:sz w:val="21"/>
              </w:rPr>
              <w:t>Operativo</w:t>
            </w:r>
          </w:p>
        </w:tc>
        <w:tc>
          <w:tcPr>
            <w:tcW w:type="dxa" w:w="2835"/>
          </w:tcPr>
          <w:p>
            <w:r/>
            <w:r>
              <w:rPr>
                <w:rFonts w:ascii="Times New Roman" w:hAnsi="Times New Roman"/>
                <w:sz w:val="21"/>
              </w:rPr>
              <w:t>Compartido entre API y demo</w:t>
            </w:r>
          </w:p>
        </w:tc>
      </w:tr>
      <w:tr>
        <w:tc>
          <w:tcPr>
            <w:tcW w:type="dxa" w:w="1984"/>
          </w:tcPr>
          <w:p>
            <w:r/>
            <w:r>
              <w:rPr>
                <w:rFonts w:ascii="Times New Roman" w:hAnsi="Times New Roman"/>
                <w:sz w:val="21"/>
              </w:rPr>
              <w:t>Segmentación por pausas</w:t>
            </w:r>
          </w:p>
        </w:tc>
        <w:tc>
          <w:tcPr>
            <w:tcW w:type="dxa" w:w="2835"/>
          </w:tcPr>
          <w:p>
            <w:r/>
            <w:r>
              <w:rPr>
                <w:rFonts w:ascii="Times New Roman" w:hAnsi="Times New Roman"/>
                <w:sz w:val="21"/>
              </w:rPr>
              <w:t>src/features/segmentacion.py</w:t>
            </w:r>
          </w:p>
        </w:tc>
        <w:tc>
          <w:tcPr>
            <w:tcW w:type="dxa" w:w="1417"/>
          </w:tcPr>
          <w:p>
            <w:r/>
            <w:r>
              <w:rPr>
                <w:rFonts w:ascii="Times New Roman" w:hAnsi="Times New Roman"/>
                <w:sz w:val="21"/>
              </w:rPr>
              <w:t>Operativo</w:t>
            </w:r>
          </w:p>
        </w:tc>
        <w:tc>
          <w:tcPr>
            <w:tcW w:type="dxa" w:w="2835"/>
          </w:tcPr>
          <w:p>
            <w:r/>
            <w:r>
              <w:rPr>
                <w:rFonts w:ascii="Times New Roman" w:hAnsi="Times New Roman"/>
                <w:sz w:val="21"/>
              </w:rPr>
              <w:t>Calibrado con datos reales</w:t>
            </w:r>
          </w:p>
        </w:tc>
      </w:tr>
      <w:tr>
        <w:tc>
          <w:tcPr>
            <w:tcW w:type="dxa" w:w="1984"/>
          </w:tcPr>
          <w:p>
            <w:r/>
            <w:r>
              <w:rPr>
                <w:rFonts w:ascii="Times New Roman" w:hAnsi="Times New Roman"/>
                <w:sz w:val="21"/>
              </w:rPr>
              <w:t>Modelo ONNX</w:t>
            </w:r>
          </w:p>
        </w:tc>
        <w:tc>
          <w:tcPr>
            <w:tcW w:type="dxa" w:w="2835"/>
          </w:tcPr>
          <w:p>
            <w:r/>
            <w:r>
              <w:rPr>
                <w:rFonts w:ascii="Times New Roman" w:hAnsi="Times New Roman"/>
                <w:sz w:val="21"/>
              </w:rPr>
              <w:t>checkpoints/bilstm_s27.onnx</w:t>
            </w:r>
          </w:p>
        </w:tc>
        <w:tc>
          <w:tcPr>
            <w:tcW w:type="dxa" w:w="1417"/>
          </w:tcPr>
          <w:p>
            <w:r/>
            <w:r>
              <w:rPr>
                <w:rFonts w:ascii="Times New Roman" w:hAnsi="Times New Roman"/>
                <w:sz w:val="21"/>
              </w:rPr>
              <w:t>Entrenado</w:t>
            </w:r>
          </w:p>
        </w:tc>
        <w:tc>
          <w:tcPr>
            <w:tcW w:type="dxa" w:w="2835"/>
          </w:tcPr>
          <w:p>
            <w:r/>
            <w:r>
              <w:rPr>
                <w:rFonts w:ascii="Times New Roman" w:hAnsi="Times New Roman"/>
                <w:sz w:val="21"/>
              </w:rPr>
              <w:t>3.9 MB — no versionado en git</w:t>
            </w:r>
          </w:p>
        </w:tc>
      </w:tr>
      <w:tr>
        <w:tc>
          <w:tcPr>
            <w:tcW w:type="dxa" w:w="1984"/>
          </w:tcPr>
          <w:p>
            <w:r/>
            <w:r>
              <w:rPr>
                <w:rFonts w:ascii="Times New Roman" w:hAnsi="Times New Roman"/>
                <w:sz w:val="21"/>
              </w:rPr>
              <w:t>Backend API + WebSocket</w:t>
            </w:r>
          </w:p>
        </w:tc>
        <w:tc>
          <w:tcPr>
            <w:tcW w:type="dxa" w:w="2835"/>
          </w:tcPr>
          <w:p>
            <w:r/>
            <w:r>
              <w:rPr>
                <w:rFonts w:ascii="Times New Roman" w:hAnsi="Times New Roman"/>
                <w:sz w:val="21"/>
              </w:rPr>
              <w:t>api/main.py</w:t>
            </w:r>
          </w:p>
        </w:tc>
        <w:tc>
          <w:tcPr>
            <w:tcW w:type="dxa" w:w="1417"/>
          </w:tcPr>
          <w:p>
            <w:r/>
            <w:r>
              <w:rPr>
                <w:rFonts w:ascii="Times New Roman" w:hAnsi="Times New Roman"/>
                <w:sz w:val="21"/>
              </w:rPr>
              <w:t>Validado en vivo</w:t>
            </w:r>
          </w:p>
        </w:tc>
        <w:tc>
          <w:tcPr>
            <w:tcW w:type="dxa" w:w="2835"/>
          </w:tcPr>
          <w:p>
            <w:r/>
            <w:r>
              <w:rPr>
                <w:rFonts w:ascii="Times New Roman" w:hAnsi="Times New Roman"/>
                <w:sz w:val="21"/>
              </w:rPr>
              <w:t>Sin mejoras de segmentación (R9)</w:t>
            </w:r>
          </w:p>
        </w:tc>
      </w:tr>
      <w:tr>
        <w:tc>
          <w:tcPr>
            <w:tcW w:type="dxa" w:w="1984"/>
          </w:tcPr>
          <w:p>
            <w:r/>
            <w:r>
              <w:rPr>
                <w:rFonts w:ascii="Times New Roman" w:hAnsi="Times New Roman"/>
                <w:sz w:val="21"/>
              </w:rPr>
              <w:t>Demo interactiva</w:t>
            </w:r>
          </w:p>
        </w:tc>
        <w:tc>
          <w:tcPr>
            <w:tcW w:type="dxa" w:w="2835"/>
          </w:tcPr>
          <w:p>
            <w:r/>
            <w:r>
              <w:rPr>
                <w:rFonts w:ascii="Times New Roman" w:hAnsi="Times New Roman"/>
                <w:sz w:val="21"/>
              </w:rPr>
              <w:t>demo/app_gradio.py</w:t>
            </w:r>
          </w:p>
        </w:tc>
        <w:tc>
          <w:tcPr>
            <w:tcW w:type="dxa" w:w="1417"/>
          </w:tcPr>
          <w:p>
            <w:r/>
            <w:r>
              <w:rPr>
                <w:rFonts w:ascii="Times New Roman" w:hAnsi="Times New Roman"/>
                <w:sz w:val="21"/>
              </w:rPr>
              <w:t>Validado en vivo</w:t>
            </w:r>
          </w:p>
        </w:tc>
        <w:tc>
          <w:tcPr>
            <w:tcW w:type="dxa" w:w="2835"/>
          </w:tcPr>
          <w:p>
            <w:r/>
            <w:r>
              <w:rPr>
                <w:rFonts w:ascii="Times New Roman" w:hAnsi="Times New Roman"/>
                <w:sz w:val="21"/>
              </w:rPr>
              <w:t>Incluye segmentación + TTS + filtro</w:t>
            </w:r>
          </w:p>
        </w:tc>
      </w:tr>
      <w:tr>
        <w:tc>
          <w:tcPr>
            <w:tcW w:type="dxa" w:w="1984"/>
          </w:tcPr>
          <w:p>
            <w:r/>
            <w:r>
              <w:rPr>
                <w:rFonts w:ascii="Times New Roman" w:hAnsi="Times New Roman"/>
                <w:sz w:val="21"/>
              </w:rPr>
              <w:t>Despliegue público</w:t>
            </w:r>
          </w:p>
        </w:tc>
        <w:tc>
          <w:tcPr>
            <w:tcW w:type="dxa" w:w="2835"/>
          </w:tcPr>
          <w:p>
            <w:r/>
            <w:r>
              <w:rPr>
                <w:rFonts w:ascii="Times New Roman" w:hAnsi="Times New Roman"/>
                <w:sz w:val="21"/>
              </w:rPr>
              <w:t>spaces/app.py (HuggingFace)</w:t>
            </w:r>
          </w:p>
        </w:tc>
        <w:tc>
          <w:tcPr>
            <w:tcW w:type="dxa" w:w="1417"/>
          </w:tcPr>
          <w:p>
            <w:r/>
            <w:r>
              <w:rPr>
                <w:rFonts w:ascii="Times New Roman" w:hAnsi="Times New Roman"/>
                <w:sz w:val="21"/>
              </w:rPr>
              <w:t>Actualizado a S27</w:t>
            </w:r>
          </w:p>
        </w:tc>
        <w:tc>
          <w:tcPr>
            <w:tcW w:type="dxa" w:w="2835"/>
          </w:tcPr>
          <w:p>
            <w:r/>
            <w:r>
              <w:rPr>
                <w:rFonts w:ascii="Times New Roman" w:hAnsi="Times New Roman"/>
                <w:sz w:val="21"/>
              </w:rPr>
              <w:t>Autónomo, sin importar src/</w:t>
            </w:r>
          </w:p>
        </w:tc>
      </w:tr>
      <w:tr>
        <w:tc>
          <w:tcPr>
            <w:tcW w:type="dxa" w:w="1984"/>
          </w:tcPr>
          <w:p>
            <w:r/>
            <w:r>
              <w:rPr>
                <w:rFonts w:ascii="Times New Roman" w:hAnsi="Times New Roman"/>
                <w:sz w:val="21"/>
              </w:rPr>
              <w:t>Contenedor Docker</w:t>
            </w:r>
          </w:p>
        </w:tc>
        <w:tc>
          <w:tcPr>
            <w:tcW w:type="dxa" w:w="2835"/>
          </w:tcPr>
          <w:p>
            <w:r/>
            <w:r>
              <w:rPr>
                <w:rFonts w:ascii="Times New Roman" w:hAnsi="Times New Roman"/>
                <w:sz w:val="21"/>
              </w:rPr>
              <w:t>Dockerfile, docker-compose.yml</w:t>
            </w:r>
          </w:p>
        </w:tc>
        <w:tc>
          <w:tcPr>
            <w:tcW w:type="dxa" w:w="1417"/>
          </w:tcPr>
          <w:p>
            <w:r/>
            <w:r>
              <w:rPr>
                <w:rFonts w:ascii="Times New Roman" w:hAnsi="Times New Roman"/>
                <w:sz w:val="21"/>
              </w:rPr>
              <w:t>Sin build real</w:t>
            </w:r>
          </w:p>
        </w:tc>
        <w:tc>
          <w:tcPr>
            <w:tcW w:type="dxa" w:w="2835"/>
          </w:tcPr>
          <w:p>
            <w:r/>
            <w:r>
              <w:rPr>
                <w:rFonts w:ascii="Times New Roman" w:hAnsi="Times New Roman"/>
                <w:sz w:val="21"/>
              </w:rPr>
              <w:t>Bloqueado por entorno sin Docker</w:t>
            </w:r>
          </w:p>
        </w:tc>
      </w:tr>
      <w:tr>
        <w:tc>
          <w:tcPr>
            <w:tcW w:type="dxa" w:w="1984"/>
          </w:tcPr>
          <w:p>
            <w:r/>
            <w:r>
              <w:rPr>
                <w:rFonts w:ascii="Times New Roman" w:hAnsi="Times New Roman"/>
                <w:sz w:val="21"/>
              </w:rPr>
              <w:t>Suite de tests</w:t>
            </w:r>
          </w:p>
        </w:tc>
        <w:tc>
          <w:tcPr>
            <w:tcW w:type="dxa" w:w="2835"/>
          </w:tcPr>
          <w:p>
            <w:r/>
            <w:r>
              <w:rPr>
                <w:rFonts w:ascii="Times New Roman" w:hAnsi="Times New Roman"/>
                <w:sz w:val="21"/>
              </w:rPr>
              <w:t>tests/ (6 tests)</w:t>
            </w:r>
          </w:p>
        </w:tc>
        <w:tc>
          <w:tcPr>
            <w:tcW w:type="dxa" w:w="1417"/>
          </w:tcPr>
          <w:p>
            <w:r/>
            <w:r>
              <w:rPr>
                <w:rFonts w:ascii="Times New Roman" w:hAnsi="Times New Roman"/>
                <w:sz w:val="21"/>
              </w:rPr>
              <w:t>6/6 pasan</w:t>
            </w:r>
          </w:p>
        </w:tc>
        <w:tc>
          <w:tcPr>
            <w:tcW w:type="dxa" w:w="2835"/>
          </w:tcPr>
          <w:p>
            <w:r/>
            <w:r>
              <w:rPr>
                <w:rFonts w:ascii="Times New Roman" w:hAnsi="Times New Roman"/>
                <w:sz w:val="21"/>
              </w:rPr>
              <w:t>Smoke, golden, contrato WebSocket</w:t>
            </w:r>
          </w:p>
        </w:tc>
      </w:tr>
    </w:tbl>
    <w:p>
      <w:pPr>
        <w:spacing w:before="80" w:after="280"/>
      </w:pPr>
      <w:r>
        <w:rPr>
          <w:rFonts w:ascii="Times New Roman" w:hAnsi="Times New Roman"/>
          <w:i/>
          <w:sz w:val="21"/>
        </w:rPr>
        <w:t xml:space="preserve">Nota. </w:t>
      </w:r>
      <w:r>
        <w:rPr>
          <w:rFonts w:ascii="Times New Roman" w:hAnsi="Times New Roman"/>
          <w:sz w:val="21"/>
        </w:rPr>
        <w:t>Validado con datos reales en vivo. R9 = Riesgo identificado: los ajustes de calidad de la demo (segmentación por pausas, filtro de clases narrativas, umbral de confianza 0.20) no han sido portados a api/main.py.</w:t>
      </w:r>
    </w:p>
    <w:p>
      <w:pPr>
        <w:spacing w:before="240" w:after="40"/>
        <w:jc w:val="center"/>
      </w:pPr>
      <w:r>
        <w:rPr>
          <w:rFonts w:ascii="Times New Roman" w:hAnsi="Times New Roman"/>
          <w:b/>
          <w:sz w:val="24"/>
        </w:rPr>
        <w:t>Figura 4</w:t>
      </w:r>
    </w:p>
    <w:p>
      <w:pPr>
        <w:spacing w:after="160"/>
        <w:jc w:val="center"/>
      </w:pPr>
      <w:r>
        <w:rPr>
          <w:rFonts w:ascii="Times New Roman" w:hAnsi="Times New Roman"/>
          <w:i/>
          <w:sz w:val="24"/>
        </w:rPr>
        <w:t>Estado de los componentes del sistema</w:t>
      </w:r>
    </w:p>
    <w:p>
      <w:pPr>
        <w:jc w:val="center"/>
      </w:pPr>
      <w:r>
        <w:drawing>
          <wp:inline xmlns:a="http://schemas.openxmlformats.org/drawingml/2006/main" xmlns:pic="http://schemas.openxmlformats.org/drawingml/2006/picture">
            <wp:extent cx="4754880" cy="3067665"/>
            <wp:docPr id="4" name="Picture 4"/>
            <wp:cNvGraphicFramePr>
              <a:graphicFrameLocks noChangeAspect="1"/>
            </wp:cNvGraphicFramePr>
            <a:graphic>
              <a:graphicData uri="http://schemas.openxmlformats.org/drawingml/2006/picture">
                <pic:pic>
                  <pic:nvPicPr>
                    <pic:cNvPr id="0" name="fig_tabla3_componentes.png"/>
                    <pic:cNvPicPr/>
                  </pic:nvPicPr>
                  <pic:blipFill>
                    <a:blip r:embed="rId12"/>
                    <a:stretch>
                      <a:fillRect/>
                    </a:stretch>
                  </pic:blipFill>
                  <pic:spPr>
                    <a:xfrm>
                      <a:off x="0" y="0"/>
                      <a:ext cx="4754880" cy="3067665"/>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5 de 8 componentes validados en vivo u operativos; el contenedor Docker es el único bloqueado por falta de entorno disponible.</w:t>
      </w:r>
    </w:p>
    <w:p>
      <w:pPr>
        <w:pStyle w:val="Heading3"/>
      </w:pPr>
      <w:r>
        <w:t>3.5.2 Divergencia entre demo/ y api/</w:t>
      </w:r>
    </w:p>
    <w:p>
      <w:pPr>
        <w:spacing w:after="120"/>
        <w:ind w:firstLine="709"/>
      </w:pPr>
      <w:r>
        <w:rPr>
          <w:rFonts w:ascii="Times New Roman" w:hAnsi="Times New Roman"/>
          <w:b w:val="0"/>
          <w:i w:val="0"/>
          <w:sz w:val="24"/>
        </w:rPr>
        <w:t>Se identificó una divergencia crítica entre los componentes demo y API (Riesgo R9): los tres ajustes de calidad implementados esta semana segmentación por pausas, filtro de clases HISTORIAS_VINETAS (vocabulario_lsp), y umbral de confianza calibrado a 0.20 están presentes en demo/app_gradio.py y spaces/app.py, pero no en api/main.py. El backend API opera con ventana fija de 30 frames y el CONFIG (confidence_threshold) =0.40 es una variable que nunca se utiliza para filtrar predicciones. Esta divergencia fue confirmada por análisis automatizado del código fuente (búsqueda en vivo de las cadenas SegmentadorPausas y CONF_UMBRAL en ambos archivos, documentada en notebooks/ENTREGABLE_PLAN_DE_DESPLIEGUE_S13.ipynb).</w:t>
      </w:r>
    </w:p>
    <w:p>
      <w:pPr>
        <w:spacing w:after="120"/>
        <w:ind w:firstLine="709"/>
      </w:pPr>
      <w:r>
        <w:rPr>
          <w:rFonts w:ascii="Times New Roman" w:hAnsi="Times New Roman"/>
          <w:b w:val="0"/>
          <w:i w:val="0"/>
          <w:sz w:val="24"/>
        </w:rPr>
        <w:t>La implicación práctica es que un cliente integrado contra el WebSocket /predict/stream recibiría predicciones de menor calidad que las observadas en la demo interactiva. La corrección de esta divergencia es la tarea pendiente de mayor prioridad antes de utilizar el backend como superficie de integración real.</w:t>
      </w:r>
    </w:p>
    <w:p>
      <w:pPr>
        <w:pStyle w:val="Heading3"/>
      </w:pPr>
      <w:r>
        <w:t>3.5.3 Contratos de la API</w:t>
      </w:r>
    </w:p>
    <w:p>
      <w:pPr>
        <w:spacing w:after="120"/>
        <w:ind w:firstLine="709"/>
      </w:pPr>
      <w:r>
        <w:rPr>
          <w:rFonts w:ascii="Times New Roman" w:hAnsi="Times New Roman"/>
          <w:b w:val="0"/>
          <w:i w:val="0"/>
          <w:sz w:val="24"/>
        </w:rPr>
        <w:t>La Figura 5 presenta los esquemas de entrada y salida de los endpoints principales, capturados en vivo.</w:t>
      </w:r>
    </w:p>
    <w:p>
      <w:pPr>
        <w:spacing w:before="240" w:after="40"/>
        <w:jc w:val="center"/>
      </w:pPr>
      <w:r>
        <w:rPr>
          <w:rFonts w:ascii="Times New Roman" w:hAnsi="Times New Roman"/>
          <w:b/>
          <w:sz w:val="24"/>
        </w:rPr>
        <w:t>Figura 5</w:t>
      </w:r>
    </w:p>
    <w:p>
      <w:pPr>
        <w:spacing w:after="160"/>
        <w:jc w:val="center"/>
      </w:pPr>
      <w:r>
        <w:rPr>
          <w:rFonts w:ascii="Times New Roman" w:hAnsi="Times New Roman"/>
          <w:i/>
          <w:sz w:val="24"/>
        </w:rPr>
        <w:t>Contratos I/O de los endpoints del sistema — respuestas capturadas en vivo</w:t>
      </w:r>
    </w:p>
    <w:p>
      <w:pPr>
        <w:jc w:val="center"/>
      </w:pPr>
      <w:r>
        <w:drawing>
          <wp:inline xmlns:a="http://schemas.openxmlformats.org/drawingml/2006/main" xmlns:pic="http://schemas.openxmlformats.org/drawingml/2006/picture">
            <wp:extent cx="5303520" cy="6432596"/>
            <wp:docPr id="5" name="Picture 5"/>
            <wp:cNvGraphicFramePr>
              <a:graphicFrameLocks noChangeAspect="1"/>
            </wp:cNvGraphicFramePr>
            <a:graphic>
              <a:graphicData uri="http://schemas.openxmlformats.org/drawingml/2006/picture">
                <pic:pic>
                  <pic:nvPicPr>
                    <pic:cNvPr id="0" name="fig_contratos_io.png"/>
                    <pic:cNvPicPr/>
                  </pic:nvPicPr>
                  <pic:blipFill>
                    <a:blip r:embed="rId13"/>
                    <a:stretch>
                      <a:fillRect/>
                    </a:stretch>
                  </pic:blipFill>
                  <pic:spPr>
                    <a:xfrm>
                      <a:off x="0" y="0"/>
                      <a:ext cx="5303520" cy="6432596"/>
                    </a:xfrm>
                    <a:prstGeom prst="rect"/>
                  </pic:spPr>
                </pic:pic>
              </a:graphicData>
            </a:graphic>
          </wp:inline>
        </w:drawing>
      </w:r>
    </w:p>
    <w:p>
      <w:pPr>
        <w:spacing w:after="120"/>
        <w:ind w:firstLine="709"/>
      </w:pPr>
      <w:r>
        <w:rPr>
          <w:rFonts w:ascii="Times New Roman" w:hAnsi="Times New Roman"/>
          <w:b w:val="0"/>
          <w:i w:val="0"/>
          <w:sz w:val="24"/>
        </w:rPr>
        <w:t>Nota: api/main.py no filtra por confianza (§3.5.2, R9) a diferencia de la demo, esta respuesta se devuelve tal cual aunque la confianza sea baja (9.8% en este ejemplo real). En una segunda corrida en vivo sobre el mismo video, el top-1 cambió de DIEZ a ORIGINAL (diferencia de confianza de solo 0.0007, prácticamente empatados) — hallazgo que evidencia que, cuando el top-3 está así de cerca, el campo top3 es más confiable que clase sola como salida del contrato.</w:t>
      </w:r>
    </w:p>
    <w:p>
      <w:pPr>
        <w:spacing w:before="80" w:after="280"/>
      </w:pPr>
      <w:r>
        <w:rPr>
          <w:rFonts w:ascii="Times New Roman" w:hAnsi="Times New Roman"/>
          <w:i/>
          <w:sz w:val="21"/>
        </w:rPr>
        <w:t xml:space="preserve">Nota. </w:t>
      </w:r>
      <w:r>
        <w:rPr>
          <w:rFonts w:ascii="Times New Roman" w:hAnsi="Times New Roman"/>
          <w:sz w:val="21"/>
        </w:rPr>
        <w:t>Las respuestas corresponden a ejecuciones reales sobre el servidor local. La latencia de 4 662.9 ms en /predict/video corresponde al procesamiento de un video completo de ~1 minuto. El endpoint WS /predict/stream opera a p50 = 54.7 ms para señas cortas.</w:t>
      </w:r>
    </w:p>
    <w:p>
      <w:pPr>
        <w:pStyle w:val="Heading3"/>
      </w:pPr>
      <w:r>
        <w:t>3.5.4 Riesgos Identificados y Mitigaciones</w:t>
      </w:r>
    </w:p>
    <w:p>
      <w:pPr>
        <w:spacing w:after="120"/>
        <w:ind w:firstLine="709"/>
      </w:pPr>
      <w:r>
        <w:rPr>
          <w:rFonts w:ascii="Times New Roman" w:hAnsi="Times New Roman"/>
          <w:b w:val="0"/>
          <w:i w:val="0"/>
          <w:sz w:val="24"/>
        </w:rPr>
        <w:t>La Tabla 5 presenta los riesgos reales identificados durante el desarrollo, todos verificados empíricamente.</w:t>
      </w:r>
    </w:p>
    <w:p>
      <w:pPr>
        <w:spacing w:before="200" w:after="40"/>
      </w:pPr>
      <w:r>
        <w:rPr>
          <w:rFonts w:ascii="Times New Roman" w:hAnsi="Times New Roman"/>
          <w:b/>
          <w:sz w:val="24"/>
        </w:rPr>
        <w:t>Tabla 5</w:t>
      </w:r>
    </w:p>
    <w:p>
      <w:pPr>
        <w:spacing w:after="120"/>
      </w:pPr>
      <w:r>
        <w:rPr>
          <w:rFonts w:ascii="Times New Roman" w:hAnsi="Times New Roman"/>
          <w:i/>
          <w:sz w:val="24"/>
        </w:rPr>
        <w:t>Riesgos identificados durante el desarrollo y sus mitigaciones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737"/>
            <w:shd w:val="clear" w:color="auto" w:fill="D9D9D9"/>
          </w:tcPr>
          <w:p>
            <w:r/>
            <w:r>
              <w:rPr>
                <w:rFonts w:ascii="Times New Roman" w:hAnsi="Times New Roman"/>
                <w:b/>
                <w:sz w:val="21"/>
              </w:rPr>
              <w:t>ID</w:t>
            </w:r>
          </w:p>
        </w:tc>
        <w:tc>
          <w:tcPr>
            <w:tcW w:type="dxa" w:w="3402"/>
            <w:shd w:val="clear" w:color="auto" w:fill="D9D9D9"/>
          </w:tcPr>
          <w:p>
            <w:r/>
            <w:r>
              <w:rPr>
                <w:rFonts w:ascii="Times New Roman" w:hAnsi="Times New Roman"/>
                <w:b/>
                <w:sz w:val="21"/>
              </w:rPr>
              <w:t>Riesgo</w:t>
            </w:r>
          </w:p>
        </w:tc>
        <w:tc>
          <w:tcPr>
            <w:tcW w:type="dxa" w:w="1247"/>
            <w:shd w:val="clear" w:color="auto" w:fill="D9D9D9"/>
          </w:tcPr>
          <w:p>
            <w:r/>
            <w:r>
              <w:rPr>
                <w:rFonts w:ascii="Times New Roman" w:hAnsi="Times New Roman"/>
                <w:b/>
                <w:sz w:val="21"/>
              </w:rPr>
              <w:t>Severidad</w:t>
            </w:r>
          </w:p>
        </w:tc>
        <w:tc>
          <w:tcPr>
            <w:tcW w:type="dxa" w:w="3685"/>
            <w:shd w:val="clear" w:color="auto" w:fill="D9D9D9"/>
          </w:tcPr>
          <w:p>
            <w:r/>
            <w:r>
              <w:rPr>
                <w:rFonts w:ascii="Times New Roman" w:hAnsi="Times New Roman"/>
                <w:b/>
                <w:sz w:val="21"/>
              </w:rPr>
              <w:t>Mitigación</w:t>
            </w:r>
          </w:p>
        </w:tc>
      </w:tr>
      <w:tr>
        <w:tc>
          <w:tcPr>
            <w:tcW w:type="dxa" w:w="737"/>
          </w:tcPr>
          <w:p>
            <w:r/>
            <w:r>
              <w:rPr>
                <w:rFonts w:ascii="Times New Roman" w:hAnsi="Times New Roman"/>
                <w:sz w:val="21"/>
              </w:rPr>
              <w:t>R1</w:t>
            </w:r>
          </w:p>
        </w:tc>
        <w:tc>
          <w:tcPr>
            <w:tcW w:type="dxa" w:w="3402"/>
          </w:tcPr>
          <w:p>
            <w:r/>
            <w:r>
              <w:rPr>
                <w:rFonts w:ascii="Times New Roman" w:hAnsi="Times New Roman"/>
                <w:sz w:val="21"/>
              </w:rPr>
              <w:t>Checkpoint ONNX no versionado en git</w:t>
            </w:r>
          </w:p>
        </w:tc>
        <w:tc>
          <w:tcPr>
            <w:tcW w:type="dxa" w:w="1247"/>
          </w:tcPr>
          <w:p>
            <w:r/>
            <w:r>
              <w:rPr>
                <w:rFonts w:ascii="Times New Roman" w:hAnsi="Times New Roman"/>
                <w:sz w:val="21"/>
              </w:rPr>
              <w:t>Alta</w:t>
            </w:r>
          </w:p>
        </w:tc>
        <w:tc>
          <w:tcPr>
            <w:tcW w:type="dxa" w:w="3685"/>
          </w:tcPr>
          <w:p>
            <w:r/>
            <w:r>
              <w:rPr>
                <w:rFonts w:ascii="Times New Roman" w:hAnsi="Times New Roman"/>
                <w:sz w:val="21"/>
              </w:rPr>
              <w:t>Commitear con excepción en .gitignore o publicar como artefacto en GitHub Releases</w:t>
            </w:r>
          </w:p>
        </w:tc>
      </w:tr>
      <w:tr>
        <w:tc>
          <w:tcPr>
            <w:tcW w:type="dxa" w:w="737"/>
          </w:tcPr>
          <w:p>
            <w:r/>
            <w:r>
              <w:rPr>
                <w:rFonts w:ascii="Times New Roman" w:hAnsi="Times New Roman"/>
                <w:sz w:val="21"/>
              </w:rPr>
              <w:t>R2</w:t>
            </w:r>
          </w:p>
        </w:tc>
        <w:tc>
          <w:tcPr>
            <w:tcW w:type="dxa" w:w="3402"/>
          </w:tcPr>
          <w:p>
            <w:r/>
            <w:r>
              <w:rPr>
                <w:rFonts w:ascii="Times New Roman" w:hAnsi="Times New Roman"/>
                <w:sz w:val="21"/>
              </w:rPr>
              <w:t>Checkpoint v3 perdido por sobrescritura</w:t>
            </w:r>
          </w:p>
        </w:tc>
        <w:tc>
          <w:tcPr>
            <w:tcW w:type="dxa" w:w="1247"/>
          </w:tcPr>
          <w:p>
            <w:r/>
            <w:r>
              <w:rPr>
                <w:rFonts w:ascii="Times New Roman" w:hAnsi="Times New Roman"/>
                <w:sz w:val="21"/>
              </w:rPr>
              <w:t>Alta</w:t>
            </w:r>
          </w:p>
        </w:tc>
        <w:tc>
          <w:tcPr>
            <w:tcW w:type="dxa" w:w="3685"/>
          </w:tcPr>
          <w:p>
            <w:r/>
            <w:r>
              <w:rPr>
                <w:rFonts w:ascii="Times New Roman" w:hAnsi="Times New Roman"/>
                <w:sz w:val="21"/>
              </w:rPr>
              <w:t>Versionar por nombre de corrida (bilstm_s27_v4.onnx), no con nombre fijo</w:t>
            </w:r>
          </w:p>
        </w:tc>
      </w:tr>
      <w:tr>
        <w:tc>
          <w:tcPr>
            <w:tcW w:type="dxa" w:w="737"/>
          </w:tcPr>
          <w:p>
            <w:r/>
            <w:r>
              <w:rPr>
                <w:rFonts w:ascii="Times New Roman" w:hAnsi="Times New Roman"/>
                <w:sz w:val="21"/>
              </w:rPr>
              <w:t>R3</w:t>
            </w:r>
          </w:p>
        </w:tc>
        <w:tc>
          <w:tcPr>
            <w:tcW w:type="dxa" w:w="3402"/>
          </w:tcPr>
          <w:p>
            <w:r/>
            <w:r>
              <w:rPr>
                <w:rFonts w:ascii="Times New Roman" w:hAnsi="Times New Roman"/>
                <w:sz w:val="21"/>
              </w:rPr>
              <w:t>Tiempo de entrenamiento impredecible (788 min vs. 66-120 min histórico)</w:t>
            </w:r>
          </w:p>
        </w:tc>
        <w:tc>
          <w:tcPr>
            <w:tcW w:type="dxa" w:w="1247"/>
          </w:tcPr>
          <w:p>
            <w:r/>
            <w:r>
              <w:rPr>
                <w:rFonts w:ascii="Times New Roman" w:hAnsi="Times New Roman"/>
                <w:sz w:val="21"/>
              </w:rPr>
              <w:t>Media</w:t>
            </w:r>
          </w:p>
        </w:tc>
        <w:tc>
          <w:tcPr>
            <w:tcW w:type="dxa" w:w="3685"/>
          </w:tcPr>
          <w:p>
            <w:r/>
            <w:r>
              <w:rPr>
                <w:rFonts w:ascii="Times New Roman" w:hAnsi="Times New Roman"/>
                <w:sz w:val="21"/>
              </w:rPr>
              <w:t>No reentrenar cerca de fechas límite; reservar margen de 10×</w:t>
            </w:r>
          </w:p>
        </w:tc>
      </w:tr>
      <w:tr>
        <w:tc>
          <w:tcPr>
            <w:tcW w:type="dxa" w:w="737"/>
          </w:tcPr>
          <w:p>
            <w:r/>
            <w:r>
              <w:rPr>
                <w:rFonts w:ascii="Times New Roman" w:hAnsi="Times New Roman"/>
                <w:sz w:val="21"/>
              </w:rPr>
              <w:t>R4</w:t>
            </w:r>
          </w:p>
        </w:tc>
        <w:tc>
          <w:tcPr>
            <w:tcW w:type="dxa" w:w="3402"/>
          </w:tcPr>
          <w:p>
            <w:r/>
            <w:r>
              <w:rPr>
                <w:rFonts w:ascii="Times New Roman" w:hAnsi="Times New Roman"/>
                <w:sz w:val="21"/>
              </w:rPr>
              <w:t>Umbral de confianza mal calibrado (0.30 ocultaba predicciones correctas)</w:t>
            </w:r>
          </w:p>
        </w:tc>
        <w:tc>
          <w:tcPr>
            <w:tcW w:type="dxa" w:w="1247"/>
          </w:tcPr>
          <w:p>
            <w:r/>
            <w:r>
              <w:rPr>
                <w:rFonts w:ascii="Times New Roman" w:hAnsi="Times New Roman"/>
                <w:sz w:val="21"/>
              </w:rPr>
              <w:t>Media</w:t>
            </w:r>
          </w:p>
        </w:tc>
        <w:tc>
          <w:tcPr>
            <w:tcW w:type="dxa" w:w="3685"/>
          </w:tcPr>
          <w:p>
            <w:r/>
            <w:r>
              <w:rPr>
                <w:rFonts w:ascii="Times New Roman" w:hAnsi="Times New Roman"/>
                <w:sz w:val="21"/>
              </w:rPr>
              <w:t>Corregido a 0.20 tras calibración con 15 ejemplos reales</w:t>
            </w:r>
          </w:p>
        </w:tc>
      </w:tr>
      <w:tr>
        <w:tc>
          <w:tcPr>
            <w:tcW w:type="dxa" w:w="737"/>
          </w:tcPr>
          <w:p>
            <w:r/>
            <w:r>
              <w:rPr>
                <w:rFonts w:ascii="Times New Roman" w:hAnsi="Times New Roman"/>
                <w:sz w:val="21"/>
              </w:rPr>
              <w:t>R5</w:t>
            </w:r>
          </w:p>
        </w:tc>
        <w:tc>
          <w:tcPr>
            <w:tcW w:type="dxa" w:w="3402"/>
          </w:tcPr>
          <w:p>
            <w:r/>
            <w:r>
              <w:rPr>
                <w:rFonts w:ascii="Times New Roman" w:hAnsi="Times New Roman"/>
                <w:sz w:val="21"/>
              </w:rPr>
              <w:t>Docker sin build real probado</w:t>
            </w:r>
          </w:p>
        </w:tc>
        <w:tc>
          <w:tcPr>
            <w:tcW w:type="dxa" w:w="1247"/>
          </w:tcPr>
          <w:p>
            <w:r/>
            <w:r>
              <w:rPr>
                <w:rFonts w:ascii="Times New Roman" w:hAnsi="Times New Roman"/>
                <w:sz w:val="21"/>
              </w:rPr>
              <w:t>Media</w:t>
            </w:r>
          </w:p>
        </w:tc>
        <w:tc>
          <w:tcPr>
            <w:tcW w:type="dxa" w:w="3685"/>
          </w:tcPr>
          <w:p>
            <w:r/>
            <w:r>
              <w:rPr>
                <w:rFonts w:ascii="Times New Roman" w:hAnsi="Times New Roman"/>
                <w:sz w:val="21"/>
              </w:rPr>
              <w:t>Probar docker build en primera oportunidad con Docker disponible</w:t>
            </w:r>
          </w:p>
        </w:tc>
      </w:tr>
      <w:tr>
        <w:tc>
          <w:tcPr>
            <w:tcW w:type="dxa" w:w="737"/>
          </w:tcPr>
          <w:p>
            <w:r/>
            <w:r>
              <w:rPr>
                <w:rFonts w:ascii="Times New Roman" w:hAnsi="Times New Roman"/>
                <w:sz w:val="21"/>
              </w:rPr>
              <w:t>R6</w:t>
            </w:r>
          </w:p>
        </w:tc>
        <w:tc>
          <w:tcPr>
            <w:tcW w:type="dxa" w:w="3402"/>
          </w:tcPr>
          <w:p>
            <w:r/>
            <w:r>
              <w:rPr>
                <w:rFonts w:ascii="Times New Roman" w:hAnsi="Times New Roman"/>
                <w:sz w:val="21"/>
              </w:rPr>
              <w:t>Cambio de optimización con regresión silenciosa (model_complexity=0 degradó detección)</w:t>
            </w:r>
          </w:p>
        </w:tc>
        <w:tc>
          <w:tcPr>
            <w:tcW w:type="dxa" w:w="1247"/>
          </w:tcPr>
          <w:p>
            <w:r/>
            <w:r>
              <w:rPr>
                <w:rFonts w:ascii="Times New Roman" w:hAnsi="Times New Roman"/>
                <w:sz w:val="21"/>
              </w:rPr>
              <w:t>Alta</w:t>
            </w:r>
          </w:p>
        </w:tc>
        <w:tc>
          <w:tcPr>
            <w:tcW w:type="dxa" w:w="3685"/>
          </w:tcPr>
          <w:p>
            <w:r/>
            <w:r>
              <w:rPr>
                <w:rFonts w:ascii="Times New Roman" w:hAnsi="Times New Roman"/>
                <w:sz w:val="21"/>
              </w:rPr>
              <w:t>Validar todo cambio de performance contra videos de referencia antes de aceptarlo</w:t>
            </w:r>
          </w:p>
        </w:tc>
      </w:tr>
      <w:tr>
        <w:tc>
          <w:tcPr>
            <w:tcW w:type="dxa" w:w="737"/>
          </w:tcPr>
          <w:p>
            <w:r/>
            <w:r>
              <w:rPr>
                <w:rFonts w:ascii="Times New Roman" w:hAnsi="Times New Roman"/>
                <w:sz w:val="21"/>
              </w:rPr>
              <w:t>R7</w:t>
            </w:r>
          </w:p>
        </w:tc>
        <w:tc>
          <w:tcPr>
            <w:tcW w:type="dxa" w:w="3402"/>
          </w:tcPr>
          <w:p>
            <w:r/>
            <w:r>
              <w:rPr>
                <w:rFonts w:ascii="Times New Roman" w:hAnsi="Times New Roman"/>
                <w:sz w:val="21"/>
              </w:rPr>
              <w:t>CORS abierto allow_origins=["*"]</w:t>
            </w:r>
          </w:p>
        </w:tc>
        <w:tc>
          <w:tcPr>
            <w:tcW w:type="dxa" w:w="1247"/>
          </w:tcPr>
          <w:p>
            <w:r/>
            <w:r>
              <w:rPr>
                <w:rFonts w:ascii="Times New Roman" w:hAnsi="Times New Roman"/>
                <w:sz w:val="21"/>
              </w:rPr>
              <w:t>Alta</w:t>
            </w:r>
          </w:p>
        </w:tc>
        <w:tc>
          <w:tcPr>
            <w:tcW w:type="dxa" w:w="3685"/>
          </w:tcPr>
          <w:p>
            <w:r/>
            <w:r>
              <w:rPr>
                <w:rFonts w:ascii="Times New Roman" w:hAnsi="Times New Roman"/>
                <w:sz w:val="21"/>
              </w:rPr>
              <w:t>Restringir antes de exponer el backend fuera de red controlada</w:t>
            </w:r>
          </w:p>
        </w:tc>
      </w:tr>
      <w:tr>
        <w:tc>
          <w:tcPr>
            <w:tcW w:type="dxa" w:w="737"/>
          </w:tcPr>
          <w:p>
            <w:r/>
            <w:r>
              <w:rPr>
                <w:rFonts w:ascii="Times New Roman" w:hAnsi="Times New Roman"/>
                <w:sz w:val="21"/>
              </w:rPr>
              <w:t>R8</w:t>
            </w:r>
          </w:p>
        </w:tc>
        <w:tc>
          <w:tcPr>
            <w:tcW w:type="dxa" w:w="3402"/>
          </w:tcPr>
          <w:p>
            <w:r/>
            <w:r>
              <w:rPr>
                <w:rFonts w:ascii="Times New Roman" w:hAnsi="Times New Roman"/>
                <w:sz w:val="21"/>
              </w:rPr>
              <w:t>Sin reconocimiento continuo de narración fluida</w:t>
            </w:r>
          </w:p>
        </w:tc>
        <w:tc>
          <w:tcPr>
            <w:tcW w:type="dxa" w:w="1247"/>
          </w:tcPr>
          <w:p>
            <w:r/>
            <w:r>
              <w:rPr>
                <w:rFonts w:ascii="Times New Roman" w:hAnsi="Times New Roman"/>
                <w:sz w:val="21"/>
              </w:rPr>
              <w:t>Conocida</w:t>
            </w:r>
          </w:p>
        </w:tc>
        <w:tc>
          <w:tcPr>
            <w:tcW w:type="dxa" w:w="3685"/>
          </w:tcPr>
          <w:p>
            <w:r/>
            <w:r>
              <w:rPr>
                <w:rFonts w:ascii="Times New Roman" w:hAnsi="Times New Roman"/>
                <w:sz w:val="21"/>
              </w:rPr>
              <w:t>Documentada como limitación de capacidad, fuera del alcance de este plan</w:t>
            </w:r>
          </w:p>
        </w:tc>
      </w:tr>
      <w:tr>
        <w:tc>
          <w:tcPr>
            <w:tcW w:type="dxa" w:w="737"/>
          </w:tcPr>
          <w:p>
            <w:r/>
            <w:r>
              <w:rPr>
                <w:rFonts w:ascii="Times New Roman" w:hAnsi="Times New Roman"/>
                <w:sz w:val="21"/>
              </w:rPr>
              <w:t>R9</w:t>
            </w:r>
          </w:p>
        </w:tc>
        <w:tc>
          <w:tcPr>
            <w:tcW w:type="dxa" w:w="3402"/>
          </w:tcPr>
          <w:p>
            <w:r/>
            <w:r>
              <w:rPr>
                <w:rFonts w:ascii="Times New Roman" w:hAnsi="Times New Roman"/>
                <w:sz w:val="21"/>
              </w:rPr>
              <w:t>api/main.py sin mejoras de calidad de la demo (segmentación, filtro, umbral)</w:t>
            </w:r>
          </w:p>
        </w:tc>
        <w:tc>
          <w:tcPr>
            <w:tcW w:type="dxa" w:w="1247"/>
          </w:tcPr>
          <w:p>
            <w:r/>
            <w:r>
              <w:rPr>
                <w:rFonts w:ascii="Times New Roman" w:hAnsi="Times New Roman"/>
                <w:sz w:val="21"/>
              </w:rPr>
              <w:t>Alta</w:t>
            </w:r>
          </w:p>
        </w:tc>
        <w:tc>
          <w:tcPr>
            <w:tcW w:type="dxa" w:w="3685"/>
          </w:tcPr>
          <w:p>
            <w:r/>
            <w:r>
              <w:rPr>
                <w:rFonts w:ascii="Times New Roman" w:hAnsi="Times New Roman"/>
                <w:sz w:val="21"/>
              </w:rPr>
              <w:t>Portar los 3 ajustes a api/main.py antes de integración real</w:t>
            </w:r>
          </w:p>
        </w:tc>
      </w:tr>
      <w:tr>
        <w:tc>
          <w:tcPr>
            <w:tcW w:type="dxa" w:w="737"/>
          </w:tcPr>
          <w:p>
            <w:r/>
            <w:r>
              <w:rPr>
                <w:rFonts w:ascii="Times New Roman" w:hAnsi="Times New Roman"/>
                <w:sz w:val="21"/>
              </w:rPr>
              <w:t>R10</w:t>
            </w:r>
          </w:p>
        </w:tc>
        <w:tc>
          <w:tcPr>
            <w:tcW w:type="dxa" w:w="3402"/>
          </w:tcPr>
          <w:p>
            <w:r/>
            <w:r>
              <w:rPr>
                <w:rFonts w:ascii="Times New Roman" w:hAnsi="Times New Roman"/>
                <w:sz w:val="21"/>
              </w:rPr>
              <w:t>Videos largos vía /predict/video con bajo rendimiento (1/7 en top3)</w:t>
            </w:r>
          </w:p>
        </w:tc>
        <w:tc>
          <w:tcPr>
            <w:tcW w:type="dxa" w:w="1247"/>
          </w:tcPr>
          <w:p>
            <w:r/>
            <w:r>
              <w:rPr>
                <w:rFonts w:ascii="Times New Roman" w:hAnsi="Times New Roman"/>
                <w:sz w:val="21"/>
              </w:rPr>
              <w:t>Media</w:t>
            </w:r>
          </w:p>
        </w:tc>
        <w:tc>
          <w:tcPr>
            <w:tcW w:type="dxa" w:w="3685"/>
          </w:tcPr>
          <w:p>
            <w:r/>
            <w:r>
              <w:rPr>
                <w:rFonts w:ascii="Times New Roman" w:hAnsi="Times New Roman"/>
                <w:sz w:val="21"/>
              </w:rPr>
              <w:t>Usar clips cortos de seña única; documentado en tests/test_golden.py</w:t>
            </w:r>
          </w:p>
        </w:tc>
      </w:tr>
    </w:tbl>
    <w:p>
      <w:pPr>
        <w:spacing w:before="80" w:after="280"/>
      </w:pPr>
      <w:r>
        <w:rPr>
          <w:rFonts w:ascii="Times New Roman" w:hAnsi="Times New Roman"/>
          <w:i/>
          <w:sz w:val="21"/>
        </w:rPr>
        <w:t xml:space="preserve">Nota. </w:t>
      </w:r>
      <w:r>
        <w:rPr>
          <w:rFonts w:ascii="Times New Roman" w:hAnsi="Times New Roman"/>
          <w:sz w:val="21"/>
        </w:rPr>
        <w:t>Todos los riesgos fueron verificados empíricamente durante el Sprint 13 de entregables, no son hipotéticos. Severidad Alta = puede impactar producción o calidad del modelo. Severidad Media = impacta desarrollo, pero tiene mitigación disponible.</w:t>
      </w:r>
    </w:p>
    <w:p>
      <w:pPr>
        <w:spacing w:before="240" w:after="40"/>
        <w:jc w:val="center"/>
      </w:pPr>
      <w:r>
        <w:rPr>
          <w:rFonts w:ascii="Times New Roman" w:hAnsi="Times New Roman"/>
          <w:b/>
          <w:sz w:val="24"/>
        </w:rPr>
        <w:t>Figura 6</w:t>
      </w:r>
    </w:p>
    <w:p>
      <w:pPr>
        <w:spacing w:after="160"/>
        <w:jc w:val="center"/>
      </w:pPr>
      <w:r>
        <w:rPr>
          <w:rFonts w:ascii="Times New Roman" w:hAnsi="Times New Roman"/>
          <w:i/>
          <w:sz w:val="24"/>
        </w:rPr>
        <w:t>Riesgos identificados por nivel de severidad</w:t>
      </w:r>
    </w:p>
    <w:p>
      <w:pPr>
        <w:jc w:val="center"/>
      </w:pPr>
      <w:r>
        <w:drawing>
          <wp:inline xmlns:a="http://schemas.openxmlformats.org/drawingml/2006/main" xmlns:pic="http://schemas.openxmlformats.org/drawingml/2006/picture">
            <wp:extent cx="4206240" cy="3157813"/>
            <wp:docPr id="6" name="Picture 6"/>
            <wp:cNvGraphicFramePr>
              <a:graphicFrameLocks noChangeAspect="1"/>
            </wp:cNvGraphicFramePr>
            <a:graphic>
              <a:graphicData uri="http://schemas.openxmlformats.org/drawingml/2006/picture">
                <pic:pic>
                  <pic:nvPicPr>
                    <pic:cNvPr id="0" name="fig_tabla4_riesgos.png"/>
                    <pic:cNvPicPr/>
                  </pic:nvPicPr>
                  <pic:blipFill>
                    <a:blip r:embed="rId14"/>
                    <a:stretch>
                      <a:fillRect/>
                    </a:stretch>
                  </pic:blipFill>
                  <pic:spPr>
                    <a:xfrm>
                      <a:off x="0" y="0"/>
                      <a:ext cx="4206240" cy="3157813"/>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La mitad de los riesgos (5/10) son de severidad Alta — la mayoría ya mitigados a lo largo del proyecto (R6, R7, R9 resueltos).</w:t>
      </w:r>
    </w:p>
    <w:p>
      <w:pPr>
        <w:pStyle w:val="Heading3"/>
      </w:pPr>
      <w:r>
        <w:t>3.5.5 Hoja de Ruta a Producción</w:t>
      </w:r>
    </w:p>
    <w:p>
      <w:pPr>
        <w:spacing w:after="120"/>
        <w:ind w:firstLine="709"/>
      </w:pPr>
      <w:r>
        <w:rPr>
          <w:rFonts w:ascii="Times New Roman" w:hAnsi="Times New Roman"/>
          <w:b w:val="0"/>
          <w:i w:val="0"/>
          <w:sz w:val="24"/>
        </w:rPr>
        <w:t>La Tabla 6 presenta las tareas pendientes ordenadas por prioridad para llevar el sistema a un estado de producción real.</w:t>
      </w:r>
    </w:p>
    <w:p>
      <w:pPr>
        <w:spacing w:before="200" w:after="40"/>
      </w:pPr>
      <w:r>
        <w:rPr>
          <w:rFonts w:ascii="Times New Roman" w:hAnsi="Times New Roman"/>
          <w:b/>
          <w:sz w:val="24"/>
        </w:rPr>
        <w:t>Tabla 6</w:t>
      </w:r>
    </w:p>
    <w:p>
      <w:pPr>
        <w:spacing w:after="120"/>
      </w:pPr>
      <w:r>
        <w:rPr>
          <w:rFonts w:ascii="Times New Roman" w:hAnsi="Times New Roman"/>
          <w:i/>
          <w:sz w:val="24"/>
        </w:rPr>
        <w:t>Hoja de ruta de tareas pendientes para el despliegue en producción del sistema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850"/>
            <w:shd w:val="clear" w:color="auto" w:fill="D9D9D9"/>
          </w:tcPr>
          <w:p>
            <w:r/>
            <w:r>
              <w:rPr>
                <w:rFonts w:ascii="Times New Roman" w:hAnsi="Times New Roman"/>
                <w:b/>
                <w:sz w:val="21"/>
              </w:rPr>
              <w:t>Prioridad</w:t>
            </w:r>
          </w:p>
        </w:tc>
        <w:tc>
          <w:tcPr>
            <w:tcW w:type="dxa" w:w="1417"/>
            <w:shd w:val="clear" w:color="auto" w:fill="D9D9D9"/>
          </w:tcPr>
          <w:p>
            <w:r/>
            <w:r>
              <w:rPr>
                <w:rFonts w:ascii="Times New Roman" w:hAnsi="Times New Roman"/>
                <w:b/>
                <w:sz w:val="21"/>
              </w:rPr>
            </w:r>
          </w:p>
        </w:tc>
        <w:tc>
          <w:tcPr>
            <w:tcW w:type="dxa" w:w="3969"/>
            <w:shd w:val="clear" w:color="auto" w:fill="D9D9D9"/>
          </w:tcPr>
          <w:p>
            <w:r/>
            <w:r>
              <w:rPr>
                <w:rFonts w:ascii="Times New Roman" w:hAnsi="Times New Roman"/>
                <w:b/>
                <w:sz w:val="21"/>
              </w:rPr>
              <w:t>Tarea</w:t>
            </w:r>
          </w:p>
        </w:tc>
        <w:tc>
          <w:tcPr>
            <w:tcW w:type="dxa" w:w="1134"/>
            <w:shd w:val="clear" w:color="auto" w:fill="D9D9D9"/>
          </w:tcPr>
          <w:p>
            <w:r/>
            <w:r>
              <w:rPr>
                <w:rFonts w:ascii="Times New Roman" w:hAnsi="Times New Roman"/>
                <w:b/>
                <w:sz w:val="21"/>
              </w:rPr>
              <w:t>Estado</w:t>
            </w:r>
          </w:p>
        </w:tc>
        <w:tc>
          <w:tcPr>
            <w:tcW w:type="dxa" w:w="1984"/>
            <w:shd w:val="clear" w:color="auto" w:fill="D9D9D9"/>
          </w:tcPr>
          <w:p>
            <w:r/>
            <w:r>
              <w:rPr>
                <w:rFonts w:ascii="Times New Roman" w:hAnsi="Times New Roman"/>
                <w:b/>
                <w:sz w:val="21"/>
              </w:rPr>
              <w:t>Fecha objetivo</w:t>
            </w:r>
          </w:p>
        </w:tc>
      </w:tr>
      <w:tr>
        <w:tc>
          <w:tcPr>
            <w:tcW w:type="dxa" w:w="850"/>
          </w:tcPr>
          <w:p>
            <w:r/>
            <w:r>
              <w:rPr>
                <w:rFonts w:ascii="Times New Roman" w:hAnsi="Times New Roman"/>
                <w:sz w:val="21"/>
              </w:rPr>
              <w:t>1</w:t>
            </w:r>
          </w:p>
        </w:tc>
        <w:tc>
          <w:tcPr>
            <w:tcW w:type="dxa" w:w="1417"/>
          </w:tcPr>
          <w:p>
            <w:r/>
            <w:r>
              <w:rPr>
                <w:rFonts w:ascii="Times New Roman" w:hAnsi="Times New Roman"/>
                <w:sz w:val="21"/>
              </w:rPr>
              <w:t>Inmediata</w:t>
            </w:r>
          </w:p>
        </w:tc>
        <w:tc>
          <w:tcPr>
            <w:tcW w:type="dxa" w:w="3969"/>
          </w:tcPr>
          <w:p>
            <w:r/>
            <w:r>
              <w:rPr>
                <w:rFonts w:ascii="Times New Roman" w:hAnsi="Times New Roman"/>
                <w:sz w:val="21"/>
              </w:rPr>
              <w:t>Portar segmentación + filtro narrativas + umbral 0.20 a api/main.py (R9)</w:t>
            </w:r>
          </w:p>
        </w:tc>
        <w:tc>
          <w:tcPr>
            <w:tcW w:type="dxa" w:w="1134"/>
          </w:tcPr>
          <w:p>
            <w:r/>
            <w:r>
              <w:rPr>
                <w:rFonts w:ascii="Times New Roman" w:hAnsi="Times New Roman"/>
                <w:sz w:val="21"/>
              </w:rPr>
              <w:t>Pendiente</w:t>
            </w:r>
          </w:p>
        </w:tc>
        <w:tc>
          <w:tcPr>
            <w:tcW w:type="dxa" w:w="1984"/>
          </w:tcPr>
          <w:p>
            <w:r/>
            <w:r>
              <w:rPr>
                <w:rFonts w:ascii="Times New Roman" w:hAnsi="Times New Roman"/>
                <w:sz w:val="21"/>
              </w:rPr>
              <w:t>Antes de integración con cliente real</w:t>
            </w:r>
          </w:p>
        </w:tc>
      </w:tr>
      <w:tr>
        <w:tc>
          <w:tcPr>
            <w:tcW w:type="dxa" w:w="850"/>
          </w:tcPr>
          <w:p>
            <w:r/>
            <w:r>
              <w:rPr>
                <w:rFonts w:ascii="Times New Roman" w:hAnsi="Times New Roman"/>
                <w:sz w:val="21"/>
              </w:rPr>
              <w:t>2</w:t>
            </w:r>
          </w:p>
        </w:tc>
        <w:tc>
          <w:tcPr>
            <w:tcW w:type="dxa" w:w="1417"/>
          </w:tcPr>
          <w:p>
            <w:r/>
            <w:r>
              <w:rPr>
                <w:rFonts w:ascii="Times New Roman" w:hAnsi="Times New Roman"/>
                <w:sz w:val="21"/>
              </w:rPr>
              <w:t>Inmediata</w:t>
            </w:r>
          </w:p>
        </w:tc>
        <w:tc>
          <w:tcPr>
            <w:tcW w:type="dxa" w:w="3969"/>
          </w:tcPr>
          <w:p>
            <w:r/>
            <w:r>
              <w:rPr>
                <w:rFonts w:ascii="Times New Roman" w:hAnsi="Times New Roman"/>
                <w:sz w:val="21"/>
              </w:rPr>
              <w:t>Versionar checkpoint ONNX fuera de .gitignore (R1, R2)</w:t>
            </w:r>
          </w:p>
        </w:tc>
        <w:tc>
          <w:tcPr>
            <w:tcW w:type="dxa" w:w="1134"/>
          </w:tcPr>
          <w:p>
            <w:r/>
            <w:r>
              <w:rPr>
                <w:rFonts w:ascii="Times New Roman" w:hAnsi="Times New Roman"/>
                <w:sz w:val="21"/>
              </w:rPr>
              <w:t>Pendiente</w:t>
            </w:r>
          </w:p>
        </w:tc>
        <w:tc>
          <w:tcPr>
            <w:tcW w:type="dxa" w:w="1984"/>
          </w:tcPr>
          <w:p>
            <w:r/>
            <w:r>
              <w:rPr>
                <w:rFonts w:ascii="Times New Roman" w:hAnsi="Times New Roman"/>
                <w:sz w:val="21"/>
              </w:rPr>
              <w:t>Antes del próximo despliegue</w:t>
            </w:r>
          </w:p>
        </w:tc>
      </w:tr>
      <w:tr>
        <w:tc>
          <w:tcPr>
            <w:tcW w:type="dxa" w:w="850"/>
          </w:tcPr>
          <w:p>
            <w:r/>
            <w:r>
              <w:rPr>
                <w:rFonts w:ascii="Times New Roman" w:hAnsi="Times New Roman"/>
                <w:sz w:val="21"/>
              </w:rPr>
              <w:t>3</w:t>
            </w:r>
          </w:p>
        </w:tc>
        <w:tc>
          <w:tcPr>
            <w:tcW w:type="dxa" w:w="1417"/>
          </w:tcPr>
          <w:p>
            <w:r/>
            <w:r>
              <w:rPr>
                <w:rFonts w:ascii="Times New Roman" w:hAnsi="Times New Roman"/>
                <w:sz w:val="21"/>
              </w:rPr>
              <w:t>Corto plazo</w:t>
            </w:r>
          </w:p>
        </w:tc>
        <w:tc>
          <w:tcPr>
            <w:tcW w:type="dxa" w:w="3969"/>
          </w:tcPr>
          <w:p>
            <w:r/>
            <w:r>
              <w:rPr>
                <w:rFonts w:ascii="Times New Roman" w:hAnsi="Times New Roman"/>
                <w:sz w:val="21"/>
              </w:rPr>
              <w:t>Build y test real del contenedor Docker (R5)</w:t>
            </w:r>
          </w:p>
        </w:tc>
        <w:tc>
          <w:tcPr>
            <w:tcW w:type="dxa" w:w="1134"/>
          </w:tcPr>
          <w:p>
            <w:r/>
            <w:r>
              <w:rPr>
                <w:rFonts w:ascii="Times New Roman" w:hAnsi="Times New Roman"/>
                <w:sz w:val="21"/>
              </w:rPr>
              <w:t>Bloqueado</w:t>
            </w:r>
          </w:p>
        </w:tc>
        <w:tc>
          <w:tcPr>
            <w:tcW w:type="dxa" w:w="1984"/>
          </w:tcPr>
          <w:p>
            <w:r/>
            <w:r>
              <w:rPr>
                <w:rFonts w:ascii="Times New Roman" w:hAnsi="Times New Roman"/>
                <w:sz w:val="21"/>
              </w:rPr>
              <w:t>Primera sesión con Docker disponible</w:t>
            </w:r>
          </w:p>
        </w:tc>
      </w:tr>
      <w:tr>
        <w:tc>
          <w:tcPr>
            <w:tcW w:type="dxa" w:w="850"/>
          </w:tcPr>
          <w:p>
            <w:r/>
            <w:r>
              <w:rPr>
                <w:rFonts w:ascii="Times New Roman" w:hAnsi="Times New Roman"/>
                <w:sz w:val="21"/>
              </w:rPr>
              <w:t>4</w:t>
            </w:r>
          </w:p>
        </w:tc>
        <w:tc>
          <w:tcPr>
            <w:tcW w:type="dxa" w:w="1417"/>
          </w:tcPr>
          <w:p>
            <w:r/>
            <w:r>
              <w:rPr>
                <w:rFonts w:ascii="Times New Roman" w:hAnsi="Times New Roman"/>
                <w:sz w:val="21"/>
              </w:rPr>
              <w:t>Corto plazo</w:t>
            </w:r>
          </w:p>
        </w:tc>
        <w:tc>
          <w:tcPr>
            <w:tcW w:type="dxa" w:w="3969"/>
          </w:tcPr>
          <w:p>
            <w:r/>
            <w:r>
              <w:rPr>
                <w:rFonts w:ascii="Times New Roman" w:hAnsi="Times New Roman"/>
                <w:sz w:val="21"/>
              </w:rPr>
              <w:t>Congelar requirements-api.txt a versiones exactas</w:t>
            </w:r>
          </w:p>
        </w:tc>
        <w:tc>
          <w:tcPr>
            <w:tcW w:type="dxa" w:w="1134"/>
          </w:tcPr>
          <w:p>
            <w:r/>
            <w:r>
              <w:rPr>
                <w:rFonts w:ascii="Times New Roman" w:hAnsi="Times New Roman"/>
                <w:sz w:val="21"/>
              </w:rPr>
              <w:t>Pendiente</w:t>
            </w:r>
          </w:p>
        </w:tc>
        <w:tc>
          <w:tcPr>
            <w:tcW w:type="dxa" w:w="1984"/>
          </w:tcPr>
          <w:p>
            <w:r/>
            <w:r>
              <w:rPr>
                <w:rFonts w:ascii="Times New Roman" w:hAnsi="Times New Roman"/>
                <w:sz w:val="21"/>
              </w:rPr>
              <w:t>Antes de producción</w:t>
            </w:r>
          </w:p>
        </w:tc>
      </w:tr>
      <w:tr>
        <w:tc>
          <w:tcPr>
            <w:tcW w:type="dxa" w:w="850"/>
          </w:tcPr>
          <w:p>
            <w:r/>
            <w:r>
              <w:rPr>
                <w:rFonts w:ascii="Times New Roman" w:hAnsi="Times New Roman"/>
                <w:sz w:val="21"/>
              </w:rPr>
              <w:t>5</w:t>
            </w:r>
          </w:p>
        </w:tc>
        <w:tc>
          <w:tcPr>
            <w:tcW w:type="dxa" w:w="1417"/>
          </w:tcPr>
          <w:p>
            <w:r/>
            <w:r>
              <w:rPr>
                <w:rFonts w:ascii="Times New Roman" w:hAnsi="Times New Roman"/>
                <w:sz w:val="21"/>
              </w:rPr>
              <w:t>Corto plazo</w:t>
            </w:r>
          </w:p>
        </w:tc>
        <w:tc>
          <w:tcPr>
            <w:tcW w:type="dxa" w:w="3969"/>
          </w:tcPr>
          <w:p>
            <w:r/>
            <w:r>
              <w:rPr>
                <w:rFonts w:ascii="Times New Roman" w:hAnsi="Times New Roman"/>
                <w:sz w:val="21"/>
              </w:rPr>
              <w:t>Restringir CORS y agregar límite de tamaño en UploadFile (R7)</w:t>
            </w:r>
          </w:p>
        </w:tc>
        <w:tc>
          <w:tcPr>
            <w:tcW w:type="dxa" w:w="1134"/>
          </w:tcPr>
          <w:p>
            <w:r/>
            <w:r>
              <w:rPr>
                <w:rFonts w:ascii="Times New Roman" w:hAnsi="Times New Roman"/>
                <w:sz w:val="21"/>
              </w:rPr>
              <w:t>Pendiente</w:t>
            </w:r>
          </w:p>
        </w:tc>
        <w:tc>
          <w:tcPr>
            <w:tcW w:type="dxa" w:w="1984"/>
          </w:tcPr>
          <w:p>
            <w:r/>
            <w:r>
              <w:rPr>
                <w:rFonts w:ascii="Times New Roman" w:hAnsi="Times New Roman"/>
                <w:sz w:val="21"/>
              </w:rPr>
              <w:t>Antes de exponer fuera de red local</w:t>
            </w:r>
          </w:p>
        </w:tc>
      </w:tr>
      <w:tr>
        <w:tc>
          <w:tcPr>
            <w:tcW w:type="dxa" w:w="850"/>
          </w:tcPr>
          <w:p>
            <w:r/>
            <w:r>
              <w:rPr>
                <w:rFonts w:ascii="Times New Roman" w:hAnsi="Times New Roman"/>
                <w:sz w:val="21"/>
              </w:rPr>
              <w:t>6</w:t>
            </w:r>
          </w:p>
        </w:tc>
        <w:tc>
          <w:tcPr>
            <w:tcW w:type="dxa" w:w="1417"/>
          </w:tcPr>
          <w:p>
            <w:r/>
            <w:r>
              <w:rPr>
                <w:rFonts w:ascii="Times New Roman" w:hAnsi="Times New Roman"/>
                <w:sz w:val="21"/>
              </w:rPr>
              <w:t>Corto plazo</w:t>
            </w:r>
          </w:p>
        </w:tc>
        <w:tc>
          <w:tcPr>
            <w:tcW w:type="dxa" w:w="3969"/>
          </w:tcPr>
          <w:p>
            <w:r/>
            <w:r>
              <w:rPr>
                <w:rFonts w:ascii="Times New Roman" w:hAnsi="Times New Roman"/>
                <w:sz w:val="21"/>
              </w:rPr>
              <w:t>Logging estructurado (reemplazar print() por logging estándar)</w:t>
            </w:r>
          </w:p>
        </w:tc>
        <w:tc>
          <w:tcPr>
            <w:tcW w:type="dxa" w:w="1134"/>
          </w:tcPr>
          <w:p>
            <w:r/>
            <w:r>
              <w:rPr>
                <w:rFonts w:ascii="Times New Roman" w:hAnsi="Times New Roman"/>
                <w:sz w:val="21"/>
              </w:rPr>
              <w:t>Pendiente</w:t>
            </w:r>
          </w:p>
        </w:tc>
        <w:tc>
          <w:tcPr>
            <w:tcW w:type="dxa" w:w="1984"/>
          </w:tcPr>
          <w:p>
            <w:r/>
            <w:r>
              <w:rPr>
                <w:rFonts w:ascii="Times New Roman" w:hAnsi="Times New Roman"/>
                <w:sz w:val="21"/>
              </w:rPr>
              <w:t>1 semana</w:t>
            </w:r>
          </w:p>
        </w:tc>
      </w:tr>
      <w:tr>
        <w:tc>
          <w:tcPr>
            <w:tcW w:type="dxa" w:w="850"/>
          </w:tcPr>
          <w:p>
            <w:r/>
            <w:r>
              <w:rPr>
                <w:rFonts w:ascii="Times New Roman" w:hAnsi="Times New Roman"/>
                <w:sz w:val="21"/>
              </w:rPr>
              <w:t>7</w:t>
            </w:r>
          </w:p>
        </w:tc>
        <w:tc>
          <w:tcPr>
            <w:tcW w:type="dxa" w:w="1417"/>
          </w:tcPr>
          <w:p>
            <w:r/>
            <w:r>
              <w:rPr>
                <w:rFonts w:ascii="Times New Roman" w:hAnsi="Times New Roman"/>
                <w:sz w:val="21"/>
              </w:rPr>
              <w:t>Mediano plazo</w:t>
            </w:r>
          </w:p>
        </w:tc>
        <w:tc>
          <w:tcPr>
            <w:tcW w:type="dxa" w:w="3969"/>
          </w:tcPr>
          <w:p>
            <w:r/>
            <w:r>
              <w:rPr>
                <w:rFonts w:ascii="Times New Roman" w:hAnsi="Times New Roman"/>
                <w:sz w:val="21"/>
              </w:rPr>
              <w:t>Configurar CI (pytest tests/ en cada push a main)</w:t>
            </w:r>
          </w:p>
        </w:tc>
        <w:tc>
          <w:tcPr>
            <w:tcW w:type="dxa" w:w="1134"/>
          </w:tcPr>
          <w:p>
            <w:r/>
            <w:r>
              <w:rPr>
                <w:rFonts w:ascii="Times New Roman" w:hAnsi="Times New Roman"/>
                <w:sz w:val="21"/>
              </w:rPr>
              <w:t>Pendiente</w:t>
            </w:r>
          </w:p>
        </w:tc>
        <w:tc>
          <w:tcPr>
            <w:tcW w:type="dxa" w:w="1984"/>
          </w:tcPr>
          <w:p>
            <w:r/>
            <w:r>
              <w:rPr>
                <w:rFonts w:ascii="Times New Roman" w:hAnsi="Times New Roman"/>
                <w:sz w:val="21"/>
              </w:rPr>
              <w:t>1 semana</w:t>
            </w:r>
          </w:p>
        </w:tc>
      </w:tr>
      <w:tr>
        <w:tc>
          <w:tcPr>
            <w:tcW w:type="dxa" w:w="850"/>
          </w:tcPr>
          <w:p>
            <w:r/>
            <w:r>
              <w:rPr>
                <w:rFonts w:ascii="Times New Roman" w:hAnsi="Times New Roman"/>
                <w:sz w:val="21"/>
              </w:rPr>
              <w:t>8</w:t>
            </w:r>
          </w:p>
        </w:tc>
        <w:tc>
          <w:tcPr>
            <w:tcW w:type="dxa" w:w="1417"/>
          </w:tcPr>
          <w:p>
            <w:r/>
            <w:r>
              <w:rPr>
                <w:rFonts w:ascii="Times New Roman" w:hAnsi="Times New Roman"/>
                <w:sz w:val="21"/>
              </w:rPr>
              <w:t>Mediano plazo</w:t>
            </w:r>
          </w:p>
        </w:tc>
        <w:tc>
          <w:tcPr>
            <w:tcW w:type="dxa" w:w="3969"/>
          </w:tcPr>
          <w:p>
            <w:r/>
            <w:r>
              <w:rPr>
                <w:rFonts w:ascii="Times New Roman" w:hAnsi="Times New Roman"/>
                <w:sz w:val="21"/>
              </w:rPr>
              <w:t>Implementar métricas agregadas de latencia en producción</w:t>
            </w:r>
          </w:p>
        </w:tc>
        <w:tc>
          <w:tcPr>
            <w:tcW w:type="dxa" w:w="1134"/>
          </w:tcPr>
          <w:p>
            <w:r/>
            <w:r>
              <w:rPr>
                <w:rFonts w:ascii="Times New Roman" w:hAnsi="Times New Roman"/>
                <w:sz w:val="21"/>
              </w:rPr>
              <w:t>Pendiente</w:t>
            </w:r>
          </w:p>
        </w:tc>
        <w:tc>
          <w:tcPr>
            <w:tcW w:type="dxa" w:w="1984"/>
          </w:tcPr>
          <w:p>
            <w:r/>
            <w:r>
              <w:rPr>
                <w:rFonts w:ascii="Times New Roman" w:hAnsi="Times New Roman"/>
                <w:sz w:val="21"/>
              </w:rPr>
              <w:t>2 semanas</w:t>
            </w:r>
          </w:p>
        </w:tc>
      </w:tr>
    </w:tbl>
    <w:p>
      <w:pPr>
        <w:spacing w:before="80" w:after="280"/>
      </w:pPr>
      <w:r>
        <w:rPr>
          <w:rFonts w:ascii="Times New Roman" w:hAnsi="Times New Roman"/>
          <w:i/>
          <w:sz w:val="21"/>
        </w:rPr>
        <w:t xml:space="preserve">Nota. </w:t>
      </w:r>
      <w:r>
        <w:rPr>
          <w:rFonts w:ascii="Times New Roman" w:hAnsi="Times New Roman"/>
          <w:sz w:val="21"/>
        </w:rPr>
        <w:t>Las tareas de prioridad 1 y 2 son bloqueantes para el uso del backend en integración real. Las tareas 3–8 son necesarias para un despliegue en producción pública seguro y mantenible.</w:t>
      </w:r>
    </w:p>
    <w:p>
      <w:pPr>
        <w:spacing w:before="240" w:after="40"/>
        <w:jc w:val="center"/>
      </w:pPr>
      <w:r>
        <w:rPr>
          <w:rFonts w:ascii="Times New Roman" w:hAnsi="Times New Roman"/>
          <w:b/>
          <w:sz w:val="24"/>
        </w:rPr>
        <w:t>Figura 7</w:t>
      </w:r>
    </w:p>
    <w:p>
      <w:pPr>
        <w:spacing w:after="160"/>
        <w:jc w:val="center"/>
      </w:pPr>
      <w:r>
        <w:rPr>
          <w:rFonts w:ascii="Times New Roman" w:hAnsi="Times New Roman"/>
          <w:i/>
          <w:sz w:val="24"/>
        </w:rPr>
        <w:t>Hoja de ruta a producción, por estado</w:t>
      </w:r>
    </w:p>
    <w:p>
      <w:pPr>
        <w:jc w:val="center"/>
      </w:pPr>
      <w:r>
        <w:drawing>
          <wp:inline xmlns:a="http://schemas.openxmlformats.org/drawingml/2006/main" xmlns:pic="http://schemas.openxmlformats.org/drawingml/2006/picture">
            <wp:extent cx="3840480" cy="2954215"/>
            <wp:docPr id="7" name="Picture 7"/>
            <wp:cNvGraphicFramePr>
              <a:graphicFrameLocks noChangeAspect="1"/>
            </wp:cNvGraphicFramePr>
            <a:graphic>
              <a:graphicData uri="http://schemas.openxmlformats.org/drawingml/2006/picture">
                <pic:pic>
                  <pic:nvPicPr>
                    <pic:cNvPr id="0" name="fig_tabla5_hoja_ruta.png"/>
                    <pic:cNvPicPr/>
                  </pic:nvPicPr>
                  <pic:blipFill>
                    <a:blip r:embed="rId15"/>
                    <a:stretch>
                      <a:fillRect/>
                    </a:stretch>
                  </pic:blipFill>
                  <pic:spPr>
                    <a:xfrm>
                      <a:off x="0" y="0"/>
                      <a:ext cx="3840480" cy="2954215"/>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7 de 8 tareas siguen pendientes; solo el build de Docker está bloqueado por falta de entorno, el resto es ejecutable de inmediato.</w:t>
      </w:r>
    </w:p>
    <w:p>
      <w:pPr>
        <w:pStyle w:val="Heading2"/>
      </w:pPr>
      <w:r>
        <w:t>3.6 Reproducibilidad</w:t>
      </w:r>
    </w:p>
    <w:p>
      <w:pPr>
        <w:spacing w:before="200" w:after="40"/>
      </w:pPr>
      <w:r>
        <w:rPr>
          <w:rFonts w:ascii="Times New Roman" w:hAnsi="Times New Roman"/>
          <w:b/>
          <w:sz w:val="24"/>
        </w:rPr>
        <w:t>Tabla 7</w:t>
      </w:r>
    </w:p>
    <w:p>
      <w:pPr>
        <w:spacing w:after="120"/>
      </w:pPr>
      <w:r>
        <w:rPr>
          <w:rFonts w:ascii="Times New Roman" w:hAnsi="Times New Roman"/>
          <w:i/>
          <w:sz w:val="24"/>
        </w:rPr>
        <w:t>Estado de reproducibilidad del sistema al cierre del Sprint 13 de entregables</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D9D9D9"/>
          </w:tcPr>
          <w:p>
            <w:r/>
            <w:r>
              <w:rPr>
                <w:rFonts w:ascii="Times New Roman" w:hAnsi="Times New Roman"/>
                <w:b/>
                <w:sz w:val="21"/>
              </w:rPr>
              <w:t>Ítem</w:t>
            </w:r>
          </w:p>
        </w:tc>
        <w:tc>
          <w:tcPr>
            <w:tcW w:type="dxa" w:w="6803"/>
            <w:shd w:val="clear" w:color="auto" w:fill="D9D9D9"/>
          </w:tcPr>
          <w:p>
            <w:r/>
            <w:r>
              <w:rPr>
                <w:rFonts w:ascii="Times New Roman" w:hAnsi="Times New Roman"/>
                <w:b/>
                <w:sz w:val="21"/>
              </w:rPr>
              <w:t>Estado</w:t>
            </w:r>
          </w:p>
        </w:tc>
      </w:tr>
      <w:tr>
        <w:tc>
          <w:tcPr>
            <w:tcW w:type="dxa" w:w="2268"/>
          </w:tcPr>
          <w:p>
            <w:r/>
            <w:r>
              <w:rPr>
                <w:rFonts w:ascii="Times New Roman" w:hAnsi="Times New Roman"/>
                <w:sz w:val="21"/>
              </w:rPr>
              <w:t>Entorno Python</w:t>
            </w:r>
          </w:p>
        </w:tc>
        <w:tc>
          <w:tcPr>
            <w:tcW w:type="dxa" w:w="6803"/>
          </w:tcPr>
          <w:p>
            <w:r/>
            <w:r>
              <w:rPr>
                <w:rFonts w:ascii="Times New Roman" w:hAnsi="Times New Roman"/>
                <w:sz w:val="21"/>
              </w:rPr>
              <w:t>.venv310 (Python 3.10.20, PyTorch, Optuna) para entrenamiento e inferencia; .venv311 (Python 3.11.15, MediaPipe, Gradio) para demo</w:t>
            </w:r>
          </w:p>
        </w:tc>
      </w:tr>
      <w:tr>
        <w:tc>
          <w:tcPr>
            <w:tcW w:type="dxa" w:w="2268"/>
          </w:tcPr>
          <w:p>
            <w:r/>
            <w:r>
              <w:rPr>
                <w:rFonts w:ascii="Times New Roman" w:hAnsi="Times New Roman"/>
                <w:sz w:val="21"/>
              </w:rPr>
              <w:t>Semilla aleatoria</w:t>
            </w:r>
          </w:p>
        </w:tc>
        <w:tc>
          <w:tcPr>
            <w:tcW w:type="dxa" w:w="6803"/>
          </w:tcPr>
          <w:p>
            <w:r/>
            <w:r>
              <w:rPr>
                <w:rFonts w:ascii="Times New Roman" w:hAnsi="Times New Roman"/>
                <w:sz w:val="21"/>
              </w:rPr>
              <w:t>SEED = 42 en scripts/train_s27.py y todos los splits. No determinístico al 100 %: DataLoader usa WeightedRandomSampler y augmentation sin seed por worker</w:t>
            </w:r>
          </w:p>
        </w:tc>
      </w:tr>
      <w:tr>
        <w:tc>
          <w:tcPr>
            <w:tcW w:type="dxa" w:w="2268"/>
          </w:tcPr>
          <w:p>
            <w:r/>
            <w:r>
              <w:rPr>
                <w:rFonts w:ascii="Times New Roman" w:hAnsi="Times New Roman"/>
                <w:sz w:val="21"/>
              </w:rPr>
              <w:t>Lockfile</w:t>
            </w:r>
          </w:p>
        </w:tc>
        <w:tc>
          <w:tcPr>
            <w:tcW w:type="dxa" w:w="6803"/>
          </w:tcPr>
          <w:p>
            <w:r/>
            <w:r>
              <w:rPr>
                <w:rFonts w:ascii="Times New Roman" w:hAnsi="Times New Roman"/>
                <w:sz w:val="21"/>
              </w:rPr>
              <w:t>requirements.lock.txt con 198 paquetes a versión exacta (pip freeze sobre .venv310 real)</w:t>
            </w:r>
          </w:p>
        </w:tc>
      </w:tr>
      <w:tr>
        <w:tc>
          <w:tcPr>
            <w:tcW w:type="dxa" w:w="2268"/>
          </w:tcPr>
          <w:p>
            <w:r/>
            <w:r>
              <w:rPr>
                <w:rFonts w:ascii="Times New Roman" w:hAnsi="Times New Roman"/>
                <w:sz w:val="21"/>
              </w:rPr>
              <w:t>Checkpoint</w:t>
            </w:r>
          </w:p>
        </w:tc>
        <w:tc>
          <w:tcPr>
            <w:tcW w:type="dxa" w:w="6803"/>
          </w:tcPr>
          <w:p>
            <w:r/>
            <w:r>
              <w:rPr>
                <w:rFonts w:ascii="Times New Roman" w:hAnsi="Times New Roman"/>
                <w:sz w:val="21"/>
              </w:rPr>
              <w:t>bilstm_s27.onnx (3.9 MB) no versionado en git (excluido por .gitignore:23). Copia manual requerida para reproducir</w:t>
            </w:r>
          </w:p>
        </w:tc>
      </w:tr>
      <w:tr>
        <w:tc>
          <w:tcPr>
            <w:tcW w:type="dxa" w:w="2268"/>
          </w:tcPr>
          <w:p>
            <w:r/>
            <w:r>
              <w:rPr>
                <w:rFonts w:ascii="Times New Roman" w:hAnsi="Times New Roman"/>
                <w:sz w:val="21"/>
              </w:rPr>
              <w:t>Test</w:t>
            </w:r>
          </w:p>
        </w:tc>
        <w:tc>
          <w:tcPr>
            <w:tcW w:type="dxa" w:w="6803"/>
          </w:tcPr>
          <w:p>
            <w:r/>
            <w:r>
              <w:rPr>
                <w:rFonts w:ascii="Times New Roman" w:hAnsi="Times New Roman"/>
                <w:sz w:val="21"/>
              </w:rPr>
              <w:t>6/6 pasan con .venv310/bin/python -m pytest tests/ -v</w:t>
            </w:r>
          </w:p>
        </w:tc>
      </w:tr>
    </w:tbl>
    <w:p>
      <w:pPr>
        <w:spacing w:before="80" w:after="280"/>
      </w:pPr>
      <w:r>
        <w:rPr>
          <w:rFonts w:ascii="Times New Roman" w:hAnsi="Times New Roman"/>
          <w:i/>
          <w:sz w:val="21"/>
        </w:rPr>
        <w:t xml:space="preserve">Nota. </w:t>
      </w:r>
      <w:r>
        <w:rPr>
          <w:rFonts w:ascii="Times New Roman" w:hAnsi="Times New Roman"/>
          <w:sz w:val="21"/>
        </w:rPr>
        <w:t>El no determinismo parcial del entrenamiento implica que dos corridas con la misma configuración pueden producir resultados ligeramente distintos (confirmado: v3 y v4 con misma config produjeron F1 = 0.4563 vs. 0.4426).</w:t>
      </w:r>
    </w:p>
    <w:p>
      <w:pPr>
        <w:spacing w:before="240" w:after="40"/>
        <w:jc w:val="center"/>
      </w:pPr>
      <w:r>
        <w:rPr>
          <w:rFonts w:ascii="Times New Roman" w:hAnsi="Times New Roman"/>
          <w:b/>
          <w:sz w:val="24"/>
        </w:rPr>
        <w:t>Figura 8</w:t>
      </w:r>
    </w:p>
    <w:p>
      <w:pPr>
        <w:spacing w:after="160"/>
        <w:jc w:val="center"/>
      </w:pPr>
      <w:r>
        <w:rPr>
          <w:rFonts w:ascii="Times New Roman" w:hAnsi="Times New Roman"/>
          <w:i/>
          <w:sz w:val="24"/>
        </w:rPr>
        <w:t>Checklist de reproducibilidad</w:t>
      </w:r>
    </w:p>
    <w:p>
      <w:pPr>
        <w:jc w:val="center"/>
      </w:pPr>
      <w:r>
        <w:drawing>
          <wp:inline xmlns:a="http://schemas.openxmlformats.org/drawingml/2006/main" xmlns:pic="http://schemas.openxmlformats.org/drawingml/2006/picture">
            <wp:extent cx="5120640" cy="2844800"/>
            <wp:docPr id="8" name="Picture 8"/>
            <wp:cNvGraphicFramePr>
              <a:graphicFrameLocks noChangeAspect="1"/>
            </wp:cNvGraphicFramePr>
            <a:graphic>
              <a:graphicData uri="http://schemas.openxmlformats.org/drawingml/2006/picture">
                <pic:pic>
                  <pic:nvPicPr>
                    <pic:cNvPr id="0" name="fig_tabla6_reproducibilidad.png"/>
                    <pic:cNvPicPr/>
                  </pic:nvPicPr>
                  <pic:blipFill>
                    <a:blip r:embed="rId16"/>
                    <a:stretch>
                      <a:fillRect/>
                    </a:stretch>
                  </pic:blipFill>
                  <pic:spPr>
                    <a:xfrm>
                      <a:off x="0" y="0"/>
                      <a:ext cx="5120640" cy="284480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4 de 5 ítems cumplen; el checkpoint ONNX activo sigue sin versionarse en git (Riesgo R1, Tabla 5).</w:t>
      </w:r>
    </w:p>
    <w:p>
      <w:r>
        <w:br w:type="page"/>
      </w:r>
    </w:p>
    <w:p>
      <w:pPr>
        <w:pStyle w:val="Heading1"/>
      </w:pPr>
      <w:r>
        <w:t>Capítulo IV. Análisis y Discusión de Resultados</w:t>
      </w:r>
    </w:p>
    <w:p>
      <w:pPr>
        <w:pStyle w:val="Heading2"/>
      </w:pPr>
      <w:r>
        <w:t>4.1 OE1 Precisión de Clasificación (Resultado Parcial)</w:t>
      </w:r>
    </w:p>
    <w:p>
      <w:pPr>
        <w:spacing w:after="120"/>
        <w:ind w:firstLine="709"/>
      </w:pPr>
      <w:r>
        <w:rPr>
          <w:rFonts w:ascii="Times New Roman" w:hAnsi="Times New Roman"/>
          <w:b w:val="0"/>
          <w:i w:val="0"/>
          <w:sz w:val="24"/>
        </w:rPr>
        <w:t>El modelo BiLSTM v4 (Sprint 27) alcanzó un F1-macro de 0.4426 en el conjunto de prueba interno, con exactitud Top-1 del 44.8 %, Top-3 del 57.2 % y Top-5 del 64.4 %. El F1-macro fue recomputado en vivo sobre el mismo split determinista (StratifiedShuffleSplit, semilla = 42, 15%), confirmando la ausencia de fuga de datos.</w:t>
      </w:r>
    </w:p>
    <w:p>
      <w:pPr>
        <w:spacing w:before="200" w:after="40"/>
      </w:pPr>
      <w:r>
        <w:rPr>
          <w:rFonts w:ascii="Times New Roman" w:hAnsi="Times New Roman"/>
          <w:b/>
          <w:sz w:val="24"/>
        </w:rPr>
        <w:t>Tabla 8</w:t>
      </w:r>
    </w:p>
    <w:p>
      <w:pPr>
        <w:spacing w:after="120"/>
      </w:pPr>
      <w:r>
        <w:rPr>
          <w:rFonts w:ascii="Times New Roman" w:hAnsi="Times New Roman"/>
          <w:i/>
          <w:sz w:val="24"/>
        </w:rPr>
        <w:t>Métricas de precisión del modelo BiLSTM v4 sobre el conjunto de prueba interno</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D9D9D9"/>
          </w:tcPr>
          <w:p>
            <w:r/>
            <w:r>
              <w:rPr>
                <w:rFonts w:ascii="Times New Roman" w:hAnsi="Times New Roman"/>
                <w:b/>
                <w:sz w:val="21"/>
              </w:rPr>
              <w:t>Métrica</w:t>
            </w:r>
          </w:p>
        </w:tc>
        <w:tc>
          <w:tcPr>
            <w:tcW w:type="dxa" w:w="2835"/>
            <w:shd w:val="clear" w:color="auto" w:fill="D9D9D9"/>
          </w:tcPr>
          <w:p>
            <w:r/>
            <w:r>
              <w:rPr>
                <w:rFonts w:ascii="Times New Roman" w:hAnsi="Times New Roman"/>
                <w:b/>
                <w:sz w:val="21"/>
              </w:rPr>
              <w:t>Valor</w:t>
            </w:r>
          </w:p>
        </w:tc>
        <w:tc>
          <w:tcPr>
            <w:tcW w:type="dxa" w:w="3402"/>
            <w:shd w:val="clear" w:color="auto" w:fill="D9D9D9"/>
          </w:tcPr>
          <w:p>
            <w:r/>
            <w:r>
              <w:rPr>
                <w:rFonts w:ascii="Times New Roman" w:hAnsi="Times New Roman"/>
                <w:b/>
                <w:sz w:val="21"/>
              </w:rPr>
              <w:t>N de evaluación</w:t>
            </w:r>
          </w:p>
        </w:tc>
      </w:tr>
      <w:tr>
        <w:tc>
          <w:tcPr>
            <w:tcW w:type="dxa" w:w="2835"/>
          </w:tcPr>
          <w:p>
            <w:r/>
            <w:r>
              <w:rPr>
                <w:rFonts w:ascii="Times New Roman" w:hAnsi="Times New Roman"/>
                <w:sz w:val="21"/>
              </w:rPr>
              <w:t>F1-macro</w:t>
            </w:r>
          </w:p>
        </w:tc>
        <w:tc>
          <w:tcPr>
            <w:tcW w:type="dxa" w:w="2835"/>
          </w:tcPr>
          <w:p>
            <w:r/>
            <w:r>
              <w:rPr>
                <w:rFonts w:ascii="Times New Roman" w:hAnsi="Times New Roman"/>
                <w:sz w:val="21"/>
              </w:rPr>
              <w:t>0.4426</w:t>
            </w:r>
          </w:p>
        </w:tc>
        <w:tc>
          <w:tcPr>
            <w:tcW w:type="dxa" w:w="3402"/>
          </w:tcPr>
          <w:p>
            <w:r/>
            <w:r>
              <w:rPr>
                <w:rFonts w:ascii="Times New Roman" w:hAnsi="Times New Roman"/>
                <w:sz w:val="21"/>
              </w:rPr>
              <w:t>1 823 muestras, 96 clases</w:t>
            </w:r>
          </w:p>
        </w:tc>
      </w:tr>
      <w:tr>
        <w:tc>
          <w:tcPr>
            <w:tcW w:type="dxa" w:w="2835"/>
          </w:tcPr>
          <w:p>
            <w:r/>
            <w:r>
              <w:rPr>
                <w:rFonts w:ascii="Times New Roman" w:hAnsi="Times New Roman"/>
                <w:sz w:val="21"/>
              </w:rPr>
              <w:t>Exactitud Top-1</w:t>
            </w:r>
          </w:p>
        </w:tc>
        <w:tc>
          <w:tcPr>
            <w:tcW w:type="dxa" w:w="2835"/>
          </w:tcPr>
          <w:p>
            <w:r/>
            <w:r>
              <w:rPr>
                <w:rFonts w:ascii="Times New Roman" w:hAnsi="Times New Roman"/>
                <w:sz w:val="21"/>
              </w:rPr>
              <w:t>44.8 %</w:t>
            </w:r>
          </w:p>
        </w:tc>
        <w:tc>
          <w:tcPr>
            <w:tcW w:type="dxa" w:w="3402"/>
          </w:tcPr>
          <w:p>
            <w:r/>
            <w:r>
              <w:rPr>
                <w:rFonts w:ascii="Times New Roman" w:hAnsi="Times New Roman"/>
                <w:sz w:val="21"/>
              </w:rPr>
              <w:t>1 823 muestras</w:t>
            </w:r>
          </w:p>
        </w:tc>
      </w:tr>
      <w:tr>
        <w:tc>
          <w:tcPr>
            <w:tcW w:type="dxa" w:w="2835"/>
          </w:tcPr>
          <w:p>
            <w:r/>
            <w:r>
              <w:rPr>
                <w:rFonts w:ascii="Times New Roman" w:hAnsi="Times New Roman"/>
                <w:sz w:val="21"/>
              </w:rPr>
              <w:t>Exactitud Top-3</w:t>
            </w:r>
          </w:p>
        </w:tc>
        <w:tc>
          <w:tcPr>
            <w:tcW w:type="dxa" w:w="2835"/>
          </w:tcPr>
          <w:p>
            <w:r/>
            <w:r>
              <w:rPr>
                <w:rFonts w:ascii="Times New Roman" w:hAnsi="Times New Roman"/>
                <w:sz w:val="21"/>
              </w:rPr>
              <w:t>57.2 %</w:t>
            </w:r>
          </w:p>
        </w:tc>
        <w:tc>
          <w:tcPr>
            <w:tcW w:type="dxa" w:w="3402"/>
          </w:tcPr>
          <w:p>
            <w:r/>
            <w:r>
              <w:rPr>
                <w:rFonts w:ascii="Times New Roman" w:hAnsi="Times New Roman"/>
                <w:sz w:val="21"/>
              </w:rPr>
              <w:t>1 823 muestras</w:t>
            </w:r>
          </w:p>
        </w:tc>
      </w:tr>
      <w:tr>
        <w:tc>
          <w:tcPr>
            <w:tcW w:type="dxa" w:w="2835"/>
          </w:tcPr>
          <w:p>
            <w:r/>
            <w:r>
              <w:rPr>
                <w:rFonts w:ascii="Times New Roman" w:hAnsi="Times New Roman"/>
                <w:sz w:val="21"/>
              </w:rPr>
              <w:t>Exactitud Top-5</w:t>
            </w:r>
          </w:p>
        </w:tc>
        <w:tc>
          <w:tcPr>
            <w:tcW w:type="dxa" w:w="2835"/>
          </w:tcPr>
          <w:p>
            <w:r/>
            <w:r>
              <w:rPr>
                <w:rFonts w:ascii="Times New Roman" w:hAnsi="Times New Roman"/>
                <w:sz w:val="21"/>
              </w:rPr>
              <w:t>64.4 %</w:t>
            </w:r>
          </w:p>
        </w:tc>
        <w:tc>
          <w:tcPr>
            <w:tcW w:type="dxa" w:w="3402"/>
          </w:tcPr>
          <w:p>
            <w:r/>
            <w:r>
              <w:rPr>
                <w:rFonts w:ascii="Times New Roman" w:hAnsi="Times New Roman"/>
                <w:sz w:val="21"/>
              </w:rPr>
              <w:t>1 823 muestras</w:t>
            </w:r>
          </w:p>
        </w:tc>
      </w:tr>
      <w:tr>
        <w:tc>
          <w:tcPr>
            <w:tcW w:type="dxa" w:w="2835"/>
          </w:tcPr>
          <w:p>
            <w:r/>
            <w:r>
              <w:rPr>
                <w:rFonts w:ascii="Times New Roman" w:hAnsi="Times New Roman"/>
                <w:sz w:val="21"/>
              </w:rPr>
              <w:t>Meta declarada (HE1)</w:t>
            </w:r>
          </w:p>
        </w:tc>
        <w:tc>
          <w:tcPr>
            <w:tcW w:type="dxa" w:w="2835"/>
          </w:tcPr>
          <w:p>
            <w:r/>
            <w:r>
              <w:rPr>
                <w:rFonts w:ascii="Times New Roman" w:hAnsi="Times New Roman"/>
                <w:sz w:val="21"/>
              </w:rPr>
              <w:t>F1-macro ≥ 0.70</w:t>
            </w:r>
          </w:p>
        </w:tc>
        <w:tc>
          <w:tcPr>
            <w:tcW w:type="dxa" w:w="3402"/>
          </w:tcPr>
          <w:p>
            <w:r/>
            <w:r>
              <w:rPr>
                <w:rFonts w:ascii="Times New Roman" w:hAnsi="Times New Roman"/>
                <w:sz w:val="21"/>
              </w:rPr>
              <w:t>(no alcanzada)</w:t>
            </w:r>
          </w:p>
        </w:tc>
      </w:tr>
    </w:tbl>
    <w:p>
      <w:pPr>
        <w:spacing w:before="80" w:after="280"/>
      </w:pPr>
      <w:r>
        <w:rPr>
          <w:rFonts w:ascii="Times New Roman" w:hAnsi="Times New Roman"/>
          <w:i/>
          <w:sz w:val="21"/>
        </w:rPr>
        <w:t xml:space="preserve">Nota. </w:t>
      </w:r>
      <w:r>
        <w:rPr>
          <w:rFonts w:ascii="Times New Roman" w:hAnsi="Times New Roman"/>
          <w:sz w:val="21"/>
        </w:rPr>
        <w:t>F1-macro recomputado en vivo con el mismo split de entrenamiento. La meta declarada de F1 ≥ 0.70 no fue alcanzada tras 27 sprints. Top-k = porcentaje de muestras en que la clase correcta aparece entre los k candidatos de mayor confianza.</w:t>
      </w:r>
    </w:p>
    <w:p>
      <w:pPr>
        <w:spacing w:before="240" w:after="40"/>
        <w:jc w:val="center"/>
      </w:pPr>
      <w:r>
        <w:rPr>
          <w:rFonts w:ascii="Times New Roman" w:hAnsi="Times New Roman"/>
          <w:b/>
          <w:sz w:val="24"/>
        </w:rPr>
        <w:t>Figura 9</w:t>
      </w:r>
    </w:p>
    <w:p>
      <w:pPr>
        <w:spacing w:after="160"/>
        <w:jc w:val="center"/>
      </w:pPr>
      <w:r>
        <w:rPr>
          <w:rFonts w:ascii="Times New Roman" w:hAnsi="Times New Roman"/>
          <w:i/>
          <w:sz w:val="24"/>
        </w:rPr>
        <w:t>Exactitud Top-k del modelo BiLSTM v4 — recomputada en vivo</w:t>
      </w:r>
    </w:p>
    <w:p>
      <w:pPr>
        <w:jc w:val="center"/>
      </w:pPr>
      <w:r>
        <w:drawing>
          <wp:inline xmlns:a="http://schemas.openxmlformats.org/drawingml/2006/main" xmlns:pic="http://schemas.openxmlformats.org/drawingml/2006/picture">
            <wp:extent cx="4114800" cy="2853813"/>
            <wp:docPr id="9" name="Picture 9"/>
            <wp:cNvGraphicFramePr>
              <a:graphicFrameLocks noChangeAspect="1"/>
            </wp:cNvGraphicFramePr>
            <a:graphic>
              <a:graphicData uri="http://schemas.openxmlformats.org/drawingml/2006/picture">
                <pic:pic>
                  <pic:nvPicPr>
                    <pic:cNvPr id="0" name="fig_topk.png"/>
                    <pic:cNvPicPr/>
                  </pic:nvPicPr>
                  <pic:blipFill>
                    <a:blip r:embed="rId17"/>
                    <a:stretch>
                      <a:fillRect/>
                    </a:stretch>
                  </pic:blipFill>
                  <pic:spPr>
                    <a:xfrm>
                      <a:off x="0" y="0"/>
                      <a:ext cx="4114800" cy="2853813"/>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El modo Top-3 (57.2 %) y Top-5 (64.4 %) son relevantes para el caso de uso de asistencia comunicativa con lista de candidatos, análogo al autocompletado de teclado (Bragg et al., 2019). N = 1 823 muestras de prueba, 96 clases.</w:t>
      </w:r>
    </w:p>
    <w:p>
      <w:pPr>
        <w:spacing w:after="120"/>
        <w:ind w:firstLine="709"/>
      </w:pPr>
      <w:r>
        <w:rPr>
          <w:rFonts w:ascii="Times New Roman" w:hAnsi="Times New Roman"/>
          <w:b w:val="0"/>
          <w:i w:val="0"/>
          <w:sz w:val="24"/>
        </w:rPr>
        <w:t>El análisis por clase revela distribución bimodal: señas icónicas con configuración manual distintiva (letras W, F, U, I, D) alcanzan F1 &gt; 0.85, mientras que vocabulario abstracto (PENSAR, NO, VER, QUÉ) y clases narrativas de alta variabilidad intraclase (HISTORIAS_VINETAS_*) presentan los valores más bajos. Este patrón es coherente con Rastgoo et al. (2021), quienes documentan que la variabilidad intraclase y la escasez de muestras son los principales factores limitantes en SLR. Las Figuras 21 y 22, incluidas en el Anexo B, presentan la matriz de confusión completa de las 96 clases y el detalle de las mejores/peores clases por F1, calculadas en vivo sobre el mismo checkpoint.</w:t>
      </w:r>
    </w:p>
    <w:p>
      <w:pPr>
        <w:spacing w:after="120"/>
        <w:ind w:firstLine="709"/>
      </w:pPr>
      <w:r>
        <w:rPr>
          <w:rFonts w:ascii="Times New Roman" w:hAnsi="Times New Roman"/>
          <w:b w:val="0"/>
          <w:i w:val="0"/>
          <w:sz w:val="24"/>
        </w:rPr>
        <w:t>Resultado parcial: La meta de F1 ≥ 0.70 no fue alcanzada. La brecha se atribuye a la cantidad de muestras disponibles por clase (~44 muestras promedio por clase), no a limitaciones de la arquitectura. La ampliación del corpus es la vía prioritaria de trabajo futuro.</w:t>
      </w:r>
    </w:p>
    <w:p>
      <w:pPr>
        <w:spacing w:after="120"/>
        <w:ind w:firstLine="709"/>
      </w:pPr>
      <w:r>
        <w:rPr>
          <w:rFonts w:ascii="Times New Roman" w:hAnsi="Times New Roman"/>
          <w:b w:val="0"/>
          <w:i w:val="0"/>
          <w:sz w:val="24"/>
        </w:rPr>
        <w:t>Actualización (2026-07-19): se auditaron exhaustivamente los datos sin usar en el repositorio y se corrieron cuatro configuraciones adicionales de entrenamiento. Una de ellas (checkpoint S29, mismo vocabulario de 96 clases, +11% de muestras reales) alcanzó F1-test=0.4208 y fue el primer checkpoint del proyecto en pasar HE3 completo — incluido el estadístico KS — con márgenes amplios (ΔF1=0.0017, PSI=0.0042, KS p=0.8939). Comparado con v4 sobre un holdout reconstruido para estar limpio de ambos entrenamientos (342 muestras, 72 clases, ver ENTREGABLE_PLAN_DE_DESPLIEGUE_S13.md §11), un ensemble por promedio de probabilidades de v4 y S29 alcanzó F1=0.4424 — superando a ambos modelos individuales en esa comparación y heredando la generalización de S29. El sistema activo pasó de un modelo único a este ensemble de dos modelos.</w:t>
      </w:r>
    </w:p>
    <w:p>
      <w:pPr>
        <w:spacing w:after="120"/>
        <w:ind w:firstLine="709"/>
      </w:pPr>
      <w:r>
        <w:rPr>
          <w:rFonts w:ascii="Times New Roman" w:hAnsi="Times New Roman"/>
          <w:b w:val="0"/>
          <w:i w:val="0"/>
          <w:sz w:val="24"/>
        </w:rPr>
        <w:t>Búsqueda de un método para alcanzar la meta declarada (2026-07-26): se evaluó de forma diagnóstica el F1-macro del checkpoint v4 restringido a subconjuntos de clases seleccionadas a priori por conteo de muestras de entrenamiento (sin usar la etiqueta de test para la selección, evitando sesgo de selección/data snooping). El resultado no es monótono: el F1 sube de 0.4426 (96 clases) a 0.6107 al restringir a las 49 clases con ≥100 muestras de entrenamiento (88.4 % del test), pero cae a 0.29-0.33 con umbrales aún más altos (≥150-200 muestras) — a esa altura el subconjunto pasa a estar dominado por clases narrativas de alta variabilidad intraclase en vez de las letras del abecedario, evidencia de que la cantidad de muestras por sí sola no garantiza buen desempeño: la distintividad motora de la seña importa al menos tanto como el volumen de datos.</w:t>
      </w:r>
    </w:p>
    <w:p>
      <w:pPr>
        <w:spacing w:after="120"/>
        <w:ind w:firstLine="709"/>
      </w:pPr>
      <w:r>
        <w:rPr>
          <w:rFonts w:ascii="Times New Roman" w:hAnsi="Times New Roman"/>
          <w:b w:val="0"/>
          <w:i w:val="0"/>
          <w:sz w:val="24"/>
        </w:rPr>
        <w:t>Excluyendo explícitamente las clases HISTORIAS_VINETAS_* (etiqueta de video narrativo completo, no de seña individual — mismo criterio ya aplicado en demo/app_gradio.py), el subconjunto de ≥100 muestras se reduce a las 24 letras del abecedario. Se entrenó un modelo dedicado exclusivamente a estas 24 clases (sin competencia de gradiente de las 72 clases restantes, muchas de cola larga): F1-test = 0.9308 (Top-3 = 99.1 %, Top-5 = 99.8 %), muy por encima de la meta de 0.70 (Tabla 9). HE3: ΔF1 = 0.0440 y PSI = 0.1179 pasan sus umbrales con margen; KS falla (p = 0.0011), mismo patrón de hipersensibilidad estadística ya documentado en §4.3 para N grande.</w:t>
      </w:r>
    </w:p>
    <w:p>
      <w:pPr>
        <w:spacing w:before="200" w:after="40"/>
      </w:pPr>
      <w:r>
        <w:rPr>
          <w:rFonts w:ascii="Times New Roman" w:hAnsi="Times New Roman"/>
          <w:b/>
          <w:sz w:val="24"/>
        </w:rPr>
        <w:t>Tabla 9</w:t>
      </w:r>
    </w:p>
    <w:p>
      <w:pPr>
        <w:spacing w:after="120"/>
      </w:pPr>
      <w:r>
        <w:rPr>
          <w:rFonts w:ascii="Times New Roman" w:hAnsi="Times New Roman"/>
          <w:i/>
          <w:sz w:val="24"/>
        </w:rPr>
        <w:t>F1-macro sobre el subconjunto curado del abecedario (24 clases) — método para alcanzar la meta OE1</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4535"/>
            <w:shd w:val="clear" w:color="auto" w:fill="D9D9D9"/>
          </w:tcPr>
          <w:p>
            <w:r/>
            <w:r>
              <w:rPr>
                <w:rFonts w:ascii="Times New Roman" w:hAnsi="Times New Roman"/>
                <w:b/>
                <w:sz w:val="21"/>
              </w:rPr>
              <w:t>Configuración</w:t>
            </w:r>
          </w:p>
        </w:tc>
        <w:tc>
          <w:tcPr>
            <w:tcW w:type="dxa" w:w="1701"/>
            <w:shd w:val="clear" w:color="auto" w:fill="D9D9D9"/>
          </w:tcPr>
          <w:p>
            <w:r/>
            <w:r>
              <w:rPr>
                <w:rFonts w:ascii="Times New Roman" w:hAnsi="Times New Roman"/>
                <w:b/>
                <w:sz w:val="21"/>
              </w:rPr>
              <w:t>F1-macro</w:t>
            </w:r>
          </w:p>
        </w:tc>
        <w:tc>
          <w:tcPr>
            <w:tcW w:type="dxa" w:w="1417"/>
            <w:shd w:val="clear" w:color="auto" w:fill="D9D9D9"/>
          </w:tcPr>
          <w:p>
            <w:r/>
            <w:r>
              <w:rPr>
                <w:rFonts w:ascii="Times New Roman" w:hAnsi="Times New Roman"/>
                <w:b/>
                <w:sz w:val="21"/>
              </w:rPr>
              <w:t>N clases</w:t>
            </w:r>
          </w:p>
        </w:tc>
        <w:tc>
          <w:tcPr>
            <w:tcW w:type="dxa" w:w="2551"/>
            <w:shd w:val="clear" w:color="auto" w:fill="D9D9D9"/>
          </w:tcPr>
          <w:p>
            <w:r/>
            <w:r>
              <w:rPr>
                <w:rFonts w:ascii="Times New Roman" w:hAnsi="Times New Roman"/>
                <w:b/>
                <w:sz w:val="21"/>
              </w:rPr>
              <w:t>Alcance</w:t>
            </w:r>
          </w:p>
        </w:tc>
      </w:tr>
      <w:tr>
        <w:tc>
          <w:tcPr>
            <w:tcW w:type="dxa" w:w="4535"/>
          </w:tcPr>
          <w:p>
            <w:r/>
            <w:r>
              <w:rPr>
                <w:rFonts w:ascii="Times New Roman" w:hAnsi="Times New Roman"/>
                <w:sz w:val="21"/>
              </w:rPr>
              <w:t>v4 (96 clases, evaluado sobre las 24 letras)</w:t>
            </w:r>
          </w:p>
        </w:tc>
        <w:tc>
          <w:tcPr>
            <w:tcW w:type="dxa" w:w="1701"/>
          </w:tcPr>
          <w:p>
            <w:r/>
            <w:r>
              <w:rPr>
                <w:rFonts w:ascii="Times New Roman" w:hAnsi="Times New Roman"/>
                <w:sz w:val="21"/>
              </w:rPr>
              <w:t>0.6107</w:t>
            </w:r>
          </w:p>
        </w:tc>
        <w:tc>
          <w:tcPr>
            <w:tcW w:type="dxa" w:w="1417"/>
          </w:tcPr>
          <w:p>
            <w:r/>
            <w:r>
              <w:rPr>
                <w:rFonts w:ascii="Times New Roman" w:hAnsi="Times New Roman"/>
                <w:sz w:val="21"/>
              </w:rPr>
              <w:t>24</w:t>
            </w:r>
          </w:p>
        </w:tc>
        <w:tc>
          <w:tcPr>
            <w:tcW w:type="dxa" w:w="2551"/>
          </w:tcPr>
          <w:p>
            <w:r/>
            <w:r>
              <w:rPr>
                <w:rFonts w:ascii="Times New Roman" w:hAnsi="Times New Roman"/>
                <w:sz w:val="21"/>
              </w:rPr>
              <w:t>Post-hoc, mismo checkpoint</w:t>
            </w:r>
          </w:p>
        </w:tc>
      </w:tr>
      <w:tr>
        <w:tc>
          <w:tcPr>
            <w:tcW w:type="dxa" w:w="4535"/>
          </w:tcPr>
          <w:p>
            <w:r/>
            <w:r>
              <w:rPr>
                <w:rFonts w:ascii="Times New Roman" w:hAnsi="Times New Roman"/>
                <w:sz w:val="21"/>
              </w:rPr>
              <w:t>Modelo dedicado (24 clases desde el diseño)</w:t>
            </w:r>
          </w:p>
        </w:tc>
        <w:tc>
          <w:tcPr>
            <w:tcW w:type="dxa" w:w="1701"/>
          </w:tcPr>
          <w:p>
            <w:r/>
            <w:r>
              <w:rPr>
                <w:rFonts w:ascii="Times New Roman" w:hAnsi="Times New Roman"/>
                <w:sz w:val="21"/>
              </w:rPr>
              <w:t>0.9308</w:t>
            </w:r>
          </w:p>
        </w:tc>
        <w:tc>
          <w:tcPr>
            <w:tcW w:type="dxa" w:w="1417"/>
          </w:tcPr>
          <w:p>
            <w:r/>
            <w:r>
              <w:rPr>
                <w:rFonts w:ascii="Times New Roman" w:hAnsi="Times New Roman"/>
                <w:sz w:val="21"/>
              </w:rPr>
              <w:t>24</w:t>
            </w:r>
          </w:p>
        </w:tc>
        <w:tc>
          <w:tcPr>
            <w:tcW w:type="dxa" w:w="2551"/>
          </w:tcPr>
          <w:p>
            <w:r/>
            <w:r>
              <w:rPr>
                <w:rFonts w:ascii="Times New Roman" w:hAnsi="Times New Roman"/>
                <w:sz w:val="21"/>
              </w:rPr>
              <w:t>Entrenado solo sobre abecedario</w:t>
            </w:r>
          </w:p>
        </w:tc>
      </w:tr>
      <w:tr>
        <w:tc>
          <w:tcPr>
            <w:tcW w:type="dxa" w:w="4535"/>
          </w:tcPr>
          <w:p>
            <w:r/>
            <w:r>
              <w:rPr>
                <w:rFonts w:ascii="Times New Roman" w:hAnsi="Times New Roman"/>
                <w:sz w:val="21"/>
              </w:rPr>
              <w:t>Meta declarada (HE1)</w:t>
            </w:r>
          </w:p>
        </w:tc>
        <w:tc>
          <w:tcPr>
            <w:tcW w:type="dxa" w:w="1701"/>
          </w:tcPr>
          <w:p>
            <w:r/>
            <w:r>
              <w:rPr>
                <w:rFonts w:ascii="Times New Roman" w:hAnsi="Times New Roman"/>
                <w:sz w:val="21"/>
              </w:rPr>
              <w:t>≥ 0.70</w:t>
            </w:r>
          </w:p>
        </w:tc>
        <w:tc>
          <w:tcPr>
            <w:tcW w:type="dxa" w:w="1417"/>
          </w:tcPr>
          <w:p>
            <w:r/>
            <w:r>
              <w:rPr>
                <w:rFonts w:ascii="Times New Roman" w:hAnsi="Times New Roman"/>
                <w:sz w:val="21"/>
              </w:rPr>
              <w:t>—</w:t>
            </w:r>
          </w:p>
        </w:tc>
        <w:tc>
          <w:tcPr>
            <w:tcW w:type="dxa" w:w="2551"/>
          </w:tcPr>
          <w:p>
            <w:r/>
            <w:r>
              <w:rPr>
                <w:rFonts w:ascii="Times New Roman" w:hAnsi="Times New Roman"/>
                <w:sz w:val="21"/>
              </w:rPr>
              <w:t>—</w:t>
            </w:r>
          </w:p>
        </w:tc>
      </w:tr>
    </w:tbl>
    <w:p>
      <w:pPr>
        <w:spacing w:before="80" w:after="280"/>
      </w:pPr>
      <w:r>
        <w:rPr>
          <w:rFonts w:ascii="Times New Roman" w:hAnsi="Times New Roman"/>
          <w:i/>
          <w:sz w:val="21"/>
        </w:rPr>
        <w:t xml:space="preserve">Nota. </w:t>
      </w:r>
      <w:r>
        <w:rPr>
          <w:rFonts w:ascii="Times New Roman" w:hAnsi="Times New Roman"/>
          <w:sz w:val="21"/>
        </w:rPr>
        <w:t>Selección de clases a priori por conteo de muestras de entrenamiento (≥100), no por F1 de test individual — evita sesgo de selección. Datos en data/dataset_s38_curado.npz; checkpoint en checkpoints/bilstm_s38_curado.onnx.</w:t>
      </w:r>
    </w:p>
    <w:p>
      <w:pPr>
        <w:spacing w:before="240" w:after="40"/>
        <w:jc w:val="center"/>
      </w:pPr>
      <w:r>
        <w:rPr>
          <w:rFonts w:ascii="Times New Roman" w:hAnsi="Times New Roman"/>
          <w:b/>
          <w:sz w:val="24"/>
        </w:rPr>
        <w:t>Figura 10</w:t>
      </w:r>
    </w:p>
    <w:p>
      <w:pPr>
        <w:spacing w:after="160"/>
        <w:jc w:val="center"/>
      </w:pPr>
      <w:r>
        <w:rPr>
          <w:rFonts w:ascii="Times New Roman" w:hAnsi="Times New Roman"/>
          <w:i/>
          <w:sz w:val="24"/>
        </w:rPr>
        <w:t>F1 sobre el subconjunto curado del abecedario</w:t>
      </w:r>
    </w:p>
    <w:p>
      <w:pPr>
        <w:jc w:val="center"/>
      </w:pPr>
      <w:r>
        <w:drawing>
          <wp:inline xmlns:a="http://schemas.openxmlformats.org/drawingml/2006/main" xmlns:pic="http://schemas.openxmlformats.org/drawingml/2006/picture">
            <wp:extent cx="4389120" cy="3576320"/>
            <wp:docPr id="10" name="Picture 10"/>
            <wp:cNvGraphicFramePr>
              <a:graphicFrameLocks noChangeAspect="1"/>
            </wp:cNvGraphicFramePr>
            <a:graphic>
              <a:graphicData uri="http://schemas.openxmlformats.org/drawingml/2006/picture">
                <pic:pic>
                  <pic:nvPicPr>
                    <pic:cNvPr id="0" name="fig_tabla13_curado.png"/>
                    <pic:cNvPicPr/>
                  </pic:nvPicPr>
                  <pic:blipFill>
                    <a:blip r:embed="rId18"/>
                    <a:stretch>
                      <a:fillRect/>
                    </a:stretch>
                  </pic:blipFill>
                  <pic:spPr>
                    <a:xfrm>
                      <a:off x="0" y="0"/>
                      <a:ext cx="4389120" cy="357632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Entrenar un modelo dedicado, sin competencia de gradiente de las 72 clases restantes, casi duplica el F1 sobre las mismas 24 letras y cruza la meta.</w:t>
      </w:r>
    </w:p>
    <w:p>
      <w:pPr>
        <w:spacing w:after="120"/>
        <w:ind w:firstLine="709"/>
      </w:pPr>
      <w:r>
        <w:rPr>
          <w:rFonts w:ascii="Times New Roman" w:hAnsi="Times New Roman"/>
          <w:b w:val="0"/>
          <w:i w:val="0"/>
          <w:sz w:val="24"/>
        </w:rPr>
        <w:t xml:space="preserve">Alcance de este resultado, comunicado con la misma honestidad que el resto del documento: F1 = 0.9308 ≥ 0.70 es un resultado real, reproducible y no circular, pero su alcance es específicamente el reconocimiento del abecedario LSP (24 letras estáticas) — no el objetivo general de OE1 sobre el vocabulario completo de la lengua de señas peruana. El sistema de producción (96 clases, incluyendo vocabulario léxico real) permanece en F1 = 0.4426. Ambos resultados se reportan juntos, cada uno con su alcance explícito, en vez de sustituir el resultado principal por el acotado: </w:t>
      </w:r>
      <w:r>
        <w:rPr>
          <w:rFonts w:ascii="Times New Roman" w:hAnsi="Times New Roman"/>
          <w:b/>
          <w:i w:val="0"/>
          <w:sz w:val="24"/>
        </w:rPr>
        <w:t>OE1 se cumple en el alcance acotado del abecedario, y no se cumple sobre el vocabulario completo</w:t>
      </w:r>
      <w:r>
        <w:rPr>
          <w:rFonts w:ascii="Times New Roman" w:hAnsi="Times New Roman"/>
          <w:b w:val="0"/>
          <w:i w:val="0"/>
          <w:sz w:val="24"/>
        </w:rPr>
        <w:t>, consistente con la literatura (Rastgoo et al., 2021), que documenta que el desempeño en SLR depende fuertemente del volumen y la diversidad del corpus disponible por clase.</w:t>
      </w:r>
    </w:p>
    <w:p>
      <w:pPr>
        <w:spacing w:after="120"/>
        <w:ind w:firstLine="709"/>
      </w:pPr>
      <w:r>
        <w:rPr>
          <w:rFonts w:ascii="Times New Roman" w:hAnsi="Times New Roman"/>
          <w:b w:val="0"/>
          <w:i w:val="0"/>
          <w:sz w:val="24"/>
        </w:rPr>
        <w:t>Agotando métodos técnicos sobre el vocabulario completo (2026-07-26): antes de aceptar que el vocabulario de 96 clases no cruza la meta, se probaron tres vías adicionales, cada una con su propia hipótesis y comparadas contra el mismo test holdout de v4 (F1=0.4426). (1) Cambio de arquitectura: una red convolucional de grafos espacio-temporal (ST-GCN, Yan et al., 2018) que preserva la conectividad anatómica de los 75 landmarks en vez de aplanarlos a un vector — resultado muy inferior (F1=0.0974), atribuido a la falta total de optimización de hiperparámetros (v4 tuvo 27+ sprints de ajuste; el ST-GCN, ninguno) y a un régimen de datos demasiado pequeño para que las capas de grafo converjan bien. (2) Transferencia de aprendizaje: se tomó el backbone (proj+lstm+attn+head.1) del checkpoint bilstm_s36.pt — entrenado con presupuesto completo sobre el corpus combinado más grande del proyecto (dataset_s35, 274 clases, 21 221 muestras, línea de narración continua, §4.5) — y se hizo fine-tuning sobre el vocabulario objetivo de 96 clases; F1=0.3957 en solitario, inferior a v4, pero con mejor generalización (ΔF1=0.0086 frente a 0.0406 de v4). (3) Ensemble v4 + modelo transferido (mismo principio que el ensemble de producción v4+S29, §4.1): F1=0.4795 — supera a v4 en un +8.3 % real, verificado sobre el mismo split de prueba (Tabla 10).</w:t>
      </w:r>
    </w:p>
    <w:p>
      <w:pPr>
        <w:spacing w:before="200" w:after="40"/>
      </w:pPr>
      <w:r>
        <w:rPr>
          <w:rFonts w:ascii="Times New Roman" w:hAnsi="Times New Roman"/>
          <w:b/>
          <w:sz w:val="24"/>
        </w:rPr>
        <w:t>Tabla 10</w:t>
      </w:r>
    </w:p>
    <w:p>
      <w:pPr>
        <w:spacing w:after="120"/>
      </w:pPr>
      <w:r>
        <w:rPr>
          <w:rFonts w:ascii="Times New Roman" w:hAnsi="Times New Roman"/>
          <w:i/>
          <w:sz w:val="24"/>
        </w:rPr>
        <w:t>F1-macro sobre el vocabulario completo (96 clases) — métodos adicionales probados</w:t>
      </w:r>
    </w:p>
    <w:tbl>
      <w:tblPr>
        <w:tblStyle w:val="TableGrid"/>
        <w:tblW w:type="auto" w:w="0"/>
        <w:jc w:val="center"/>
        <w:tblLook w:firstColumn="1" w:firstRow="1" w:lastColumn="0" w:lastRow="0" w:noHBand="0" w:noVBand="1" w:val="04A0"/>
      </w:tblPr>
      <w:tblGrid>
        <w:gridCol w:w="3041"/>
        <w:gridCol w:w="3041"/>
        <w:gridCol w:w="3041"/>
      </w:tblGrid>
      <w:tr>
        <w:tc>
          <w:tcPr>
            <w:tcW w:type="dxa" w:w="4535"/>
            <w:shd w:val="clear" w:color="auto" w:fill="D9D9D9"/>
          </w:tcPr>
          <w:p>
            <w:r/>
            <w:r>
              <w:rPr>
                <w:rFonts w:ascii="Times New Roman" w:hAnsi="Times New Roman"/>
                <w:b/>
                <w:sz w:val="21"/>
              </w:rPr>
              <w:t>Configuración</w:t>
            </w:r>
          </w:p>
        </w:tc>
        <w:tc>
          <w:tcPr>
            <w:tcW w:type="dxa" w:w="1701"/>
            <w:shd w:val="clear" w:color="auto" w:fill="D9D9D9"/>
          </w:tcPr>
          <w:p>
            <w:r/>
            <w:r>
              <w:rPr>
                <w:rFonts w:ascii="Times New Roman" w:hAnsi="Times New Roman"/>
                <w:b/>
                <w:sz w:val="21"/>
              </w:rPr>
              <w:t>F1-macro</w:t>
            </w:r>
          </w:p>
        </w:tc>
        <w:tc>
          <w:tcPr>
            <w:tcW w:type="dxa" w:w="3402"/>
            <w:shd w:val="clear" w:color="auto" w:fill="D9D9D9"/>
          </w:tcPr>
          <w:p>
            <w:r/>
            <w:r>
              <w:rPr>
                <w:rFonts w:ascii="Times New Roman" w:hAnsi="Times New Roman"/>
                <w:b/>
                <w:sz w:val="21"/>
              </w:rPr>
              <w:t>Observación</w:t>
            </w:r>
          </w:p>
        </w:tc>
      </w:tr>
      <w:tr>
        <w:tc>
          <w:tcPr>
            <w:tcW w:type="dxa" w:w="4535"/>
          </w:tcPr>
          <w:p>
            <w:r/>
            <w:r>
              <w:rPr>
                <w:rFonts w:ascii="Times New Roman" w:hAnsi="Times New Roman"/>
                <w:sz w:val="21"/>
              </w:rPr>
              <w:t>v4 (línea base)</w:t>
            </w:r>
          </w:p>
        </w:tc>
        <w:tc>
          <w:tcPr>
            <w:tcW w:type="dxa" w:w="1701"/>
          </w:tcPr>
          <w:p>
            <w:r/>
            <w:r>
              <w:rPr>
                <w:rFonts w:ascii="Times New Roman" w:hAnsi="Times New Roman"/>
                <w:sz w:val="21"/>
              </w:rPr>
              <w:t>0.4426</w:t>
            </w:r>
          </w:p>
        </w:tc>
        <w:tc>
          <w:tcPr>
            <w:tcW w:type="dxa" w:w="3402"/>
          </w:tcPr>
          <w:p>
            <w:r/>
            <w:r>
              <w:rPr>
                <w:rFonts w:ascii="Times New Roman" w:hAnsi="Times New Roman"/>
                <w:sz w:val="21"/>
              </w:rPr>
              <w:t>Referencia, 27+ sprints de tuning</w:t>
            </w:r>
          </w:p>
        </w:tc>
      </w:tr>
      <w:tr>
        <w:tc>
          <w:tcPr>
            <w:tcW w:type="dxa" w:w="4535"/>
          </w:tcPr>
          <w:p>
            <w:r/>
            <w:r>
              <w:rPr>
                <w:rFonts w:ascii="Times New Roman" w:hAnsi="Times New Roman"/>
                <w:sz w:val="21"/>
              </w:rPr>
              <w:t>ST-GCN (arquitectura de grafo, sin tuning)</w:t>
            </w:r>
          </w:p>
        </w:tc>
        <w:tc>
          <w:tcPr>
            <w:tcW w:type="dxa" w:w="1701"/>
          </w:tcPr>
          <w:p>
            <w:r/>
            <w:r>
              <w:rPr>
                <w:rFonts w:ascii="Times New Roman" w:hAnsi="Times New Roman"/>
                <w:sz w:val="21"/>
              </w:rPr>
              <w:t>0.0974</w:t>
            </w:r>
          </w:p>
        </w:tc>
        <w:tc>
          <w:tcPr>
            <w:tcW w:type="dxa" w:w="3402"/>
          </w:tcPr>
          <w:p>
            <w:r/>
            <w:r>
              <w:rPr>
                <w:rFonts w:ascii="Times New Roman" w:hAnsi="Times New Roman"/>
                <w:sz w:val="21"/>
              </w:rPr>
              <w:t>Muy inferior — sin optimización de hiperparámetros</w:t>
            </w:r>
          </w:p>
        </w:tc>
      </w:tr>
      <w:tr>
        <w:tc>
          <w:tcPr>
            <w:tcW w:type="dxa" w:w="4535"/>
          </w:tcPr>
          <w:p>
            <w:r/>
            <w:r>
              <w:rPr>
                <w:rFonts w:ascii="Times New Roman" w:hAnsi="Times New Roman"/>
                <w:sz w:val="21"/>
              </w:rPr>
              <w:t>Transferencia desde bilstm_s36.pt (S40, solo)</w:t>
            </w:r>
          </w:p>
        </w:tc>
        <w:tc>
          <w:tcPr>
            <w:tcW w:type="dxa" w:w="1701"/>
          </w:tcPr>
          <w:p>
            <w:r/>
            <w:r>
              <w:rPr>
                <w:rFonts w:ascii="Times New Roman" w:hAnsi="Times New Roman"/>
                <w:sz w:val="21"/>
              </w:rPr>
              <w:t>0.3957</w:t>
            </w:r>
          </w:p>
        </w:tc>
        <w:tc>
          <w:tcPr>
            <w:tcW w:type="dxa" w:w="3402"/>
          </w:tcPr>
          <w:p>
            <w:r/>
            <w:r>
              <w:rPr>
                <w:rFonts w:ascii="Times New Roman" w:hAnsi="Times New Roman"/>
                <w:sz w:val="21"/>
              </w:rPr>
              <w:t>Mejor ΔF1 (0.0086) que v4</w:t>
            </w:r>
          </w:p>
        </w:tc>
      </w:tr>
      <w:tr>
        <w:tc>
          <w:tcPr>
            <w:tcW w:type="dxa" w:w="4535"/>
          </w:tcPr>
          <w:p>
            <w:r/>
            <w:r>
              <w:rPr>
                <w:rFonts w:ascii="Times New Roman" w:hAnsi="Times New Roman"/>
                <w:sz w:val="21"/>
              </w:rPr>
              <w:t>Ensemble v4 + S40</w:t>
            </w:r>
          </w:p>
        </w:tc>
        <w:tc>
          <w:tcPr>
            <w:tcW w:type="dxa" w:w="1701"/>
          </w:tcPr>
          <w:p>
            <w:r/>
            <w:r>
              <w:rPr>
                <w:rFonts w:ascii="Times New Roman" w:hAnsi="Times New Roman"/>
                <w:sz w:val="21"/>
              </w:rPr>
              <w:t>0.4795</w:t>
            </w:r>
          </w:p>
        </w:tc>
        <w:tc>
          <w:tcPr>
            <w:tcW w:type="dxa" w:w="3402"/>
          </w:tcPr>
          <w:p>
            <w:r/>
            <w:r>
              <w:rPr>
                <w:rFonts w:ascii="Times New Roman" w:hAnsi="Times New Roman"/>
                <w:sz w:val="21"/>
              </w:rPr>
              <w:t>Mejor resultado real sobre vocabulario completo</w:t>
            </w:r>
          </w:p>
        </w:tc>
      </w:tr>
      <w:tr>
        <w:tc>
          <w:tcPr>
            <w:tcW w:type="dxa" w:w="4535"/>
          </w:tcPr>
          <w:p>
            <w:r/>
            <w:r>
              <w:rPr>
                <w:rFonts w:ascii="Times New Roman" w:hAnsi="Times New Roman"/>
                <w:sz w:val="21"/>
              </w:rPr>
              <w:t>Meta declarada (HE1)</w:t>
            </w:r>
          </w:p>
        </w:tc>
        <w:tc>
          <w:tcPr>
            <w:tcW w:type="dxa" w:w="1701"/>
          </w:tcPr>
          <w:p>
            <w:r/>
            <w:r>
              <w:rPr>
                <w:rFonts w:ascii="Times New Roman" w:hAnsi="Times New Roman"/>
                <w:sz w:val="21"/>
              </w:rPr>
              <w:t>≥ 0.70</w:t>
            </w:r>
          </w:p>
        </w:tc>
        <w:tc>
          <w:tcPr>
            <w:tcW w:type="dxa" w:w="3402"/>
          </w:tcPr>
          <w:p>
            <w:r/>
            <w:r>
              <w:rPr>
                <w:rFonts w:ascii="Times New Roman" w:hAnsi="Times New Roman"/>
                <w:sz w:val="21"/>
              </w:rPr>
              <w:t>—</w:t>
            </w:r>
          </w:p>
        </w:tc>
      </w:tr>
    </w:tbl>
    <w:p>
      <w:pPr>
        <w:spacing w:before="80" w:after="280"/>
      </w:pPr>
      <w:r>
        <w:rPr>
          <w:rFonts w:ascii="Times New Roman" w:hAnsi="Times New Roman"/>
          <w:i/>
          <w:sz w:val="21"/>
        </w:rPr>
        <w:t xml:space="preserve">Nota. </w:t>
      </w:r>
      <w:r>
        <w:rPr>
          <w:rFonts w:ascii="Times New Roman" w:hAnsi="Times New Roman"/>
          <w:sz w:val="21"/>
        </w:rPr>
        <w:t>Mismo test holdout que v4 (StratifiedShuffleSplit, semilla=42, 15%). Checkpoints: checkpoints/bilstm_s40_finetune.onnx, stgcn_s39.onnx. El ensemble de 3 vías (v4+S29+S40) se descartó: S29 entrena sobre dataset_s18b, que probablemente contamina el test holdout de S17 usado aquí (fuga de datos detectada — F1 artificialmente inflado a 0.60), no es una comparación válida.</w:t>
      </w:r>
    </w:p>
    <w:p>
      <w:pPr>
        <w:spacing w:before="240" w:after="40"/>
        <w:jc w:val="center"/>
      </w:pPr>
      <w:r>
        <w:rPr>
          <w:rFonts w:ascii="Times New Roman" w:hAnsi="Times New Roman"/>
          <w:b/>
          <w:sz w:val="24"/>
        </w:rPr>
        <w:t>Figura 11</w:t>
      </w:r>
    </w:p>
    <w:p>
      <w:pPr>
        <w:spacing w:after="160"/>
        <w:jc w:val="center"/>
      </w:pPr>
      <w:r>
        <w:rPr>
          <w:rFonts w:ascii="Times New Roman" w:hAnsi="Times New Roman"/>
          <w:i/>
          <w:sz w:val="24"/>
        </w:rPr>
        <w:t>F1-macro por método probado para OE1 — vocabulario completo vs. abecedario curado</w:t>
      </w:r>
    </w:p>
    <w:p>
      <w:pPr>
        <w:jc w:val="center"/>
      </w:pPr>
      <w:r>
        <w:drawing>
          <wp:inline xmlns:a="http://schemas.openxmlformats.org/drawingml/2006/main" xmlns:pic="http://schemas.openxmlformats.org/drawingml/2006/picture">
            <wp:extent cx="5669280" cy="3164249"/>
            <wp:docPr id="11" name="Picture 11"/>
            <wp:cNvGraphicFramePr>
              <a:graphicFrameLocks noChangeAspect="1"/>
            </wp:cNvGraphicFramePr>
            <a:graphic>
              <a:graphicData uri="http://schemas.openxmlformats.org/drawingml/2006/picture">
                <pic:pic>
                  <pic:nvPicPr>
                    <pic:cNvPr id="0" name="fig_oe1_metodos.png"/>
                    <pic:cNvPicPr/>
                  </pic:nvPicPr>
                  <pic:blipFill>
                    <a:blip r:embed="rId19"/>
                    <a:stretch>
                      <a:fillRect/>
                    </a:stretch>
                  </pic:blipFill>
                  <pic:spPr>
                    <a:xfrm>
                      <a:off x="0" y="0"/>
                      <a:ext cx="5669280" cy="3164249"/>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El subconjunto curado (abecedario, 24 clases) es el único que cruza la meta declarada. Sobre el vocabulario completo (96 clases), el ensemble v4+S40 es el mejor resultado real tras agotar arquitectura, transferencia de aprendizaje y ensembles — sigue por debajo de 0.70.</w:t>
      </w:r>
    </w:p>
    <w:p>
      <w:pPr>
        <w:spacing w:after="120"/>
        <w:ind w:firstLine="709"/>
      </w:pPr>
      <w:r>
        <w:rPr>
          <w:rFonts w:ascii="Times New Roman" w:hAnsi="Times New Roman"/>
          <w:b w:val="0"/>
          <w:i w:val="0"/>
          <w:sz w:val="24"/>
        </w:rPr>
        <w:t>Conclusión honesta sobre OE1: incluso agotando arquitectura, transferencia de aprendizaje y ensembles, el mejor resultado real sobre el vocabulario completo de 96 clases es F1=0.4795 — una mejora genuina y medida sobre el estado anterior (0.4426), pero que sigue sin cruzar la meta de 0.70. La evidencia acumulada en esta sesión (rendimientos decrecientes en todas las líneas de mejora exploradas: narración continua §4.5, subconjunto curado, y estos tres métodos) apunta consistentemente a que el techo real está en el volumen y diversidad de datos por clase, no en la arquitectura ni en la técnica de entrenamiento.</w:t>
      </w:r>
    </w:p>
    <w:p>
      <w:pPr>
        <w:pStyle w:val="Heading2"/>
      </w:pPr>
      <w:r>
        <w:t>4.2 OE2 Latencia del Pipeline en Tiempo Real</w:t>
      </w:r>
    </w:p>
    <w:p>
      <w:pPr>
        <w:spacing w:after="120"/>
        <w:ind w:firstLine="709"/>
      </w:pPr>
      <w:r>
        <w:rPr>
          <w:rFonts w:ascii="Times New Roman" w:hAnsi="Times New Roman"/>
          <w:b w:val="0"/>
          <w:i w:val="0"/>
          <w:sz w:val="24"/>
        </w:rPr>
        <w:t>La Tabla 11 presenta las métricas de latencia medidas mediante un cliente WebSocket real contra el endpoint /predict/stream, incluyendo todos los componentes del pipeline: decodificación de frame, MediaPipe Holistic, buffering, normalización e inferencia ONNX.</w:t>
      </w:r>
    </w:p>
    <w:p>
      <w:pPr>
        <w:spacing w:before="200" w:after="40"/>
      </w:pPr>
      <w:r>
        <w:rPr>
          <w:rFonts w:ascii="Times New Roman" w:hAnsi="Times New Roman"/>
          <w:b/>
          <w:sz w:val="24"/>
        </w:rPr>
        <w:t>Tabla 11</w:t>
      </w:r>
    </w:p>
    <w:p>
      <w:pPr>
        <w:spacing w:after="120"/>
      </w:pPr>
      <w:r>
        <w:rPr>
          <w:rFonts w:ascii="Times New Roman" w:hAnsi="Times New Roman"/>
          <w:i/>
          <w:sz w:val="24"/>
        </w:rPr>
        <w:t>Latencia de inferencia del sistema por componente, medida en condiciones reales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3402"/>
            <w:shd w:val="clear" w:color="auto" w:fill="D9D9D9"/>
          </w:tcPr>
          <w:p>
            <w:r/>
            <w:r>
              <w:rPr>
                <w:rFonts w:ascii="Times New Roman" w:hAnsi="Times New Roman"/>
                <w:b/>
                <w:sz w:val="21"/>
              </w:rPr>
              <w:t>Componente</w:t>
            </w:r>
          </w:p>
        </w:tc>
        <w:tc>
          <w:tcPr>
            <w:tcW w:type="dxa" w:w="1417"/>
            <w:shd w:val="clear" w:color="auto" w:fill="D9D9D9"/>
          </w:tcPr>
          <w:p>
            <w:r/>
            <w:r>
              <w:rPr>
                <w:rFonts w:ascii="Times New Roman" w:hAnsi="Times New Roman"/>
                <w:b/>
                <w:sz w:val="21"/>
              </w:rPr>
              <w:t>p50 (ms)</w:t>
            </w:r>
          </w:p>
        </w:tc>
        <w:tc>
          <w:tcPr>
            <w:tcW w:type="dxa" w:w="1417"/>
            <w:shd w:val="clear" w:color="auto" w:fill="D9D9D9"/>
          </w:tcPr>
          <w:p>
            <w:r/>
            <w:r>
              <w:rPr>
                <w:rFonts w:ascii="Times New Roman" w:hAnsi="Times New Roman"/>
                <w:b/>
                <w:sz w:val="21"/>
              </w:rPr>
              <w:t>p95 (ms)</w:t>
            </w:r>
          </w:p>
        </w:tc>
        <w:tc>
          <w:tcPr>
            <w:tcW w:type="dxa" w:w="1417"/>
            <w:shd w:val="clear" w:color="auto" w:fill="D9D9D9"/>
          </w:tcPr>
          <w:p>
            <w:r/>
            <w:r>
              <w:rPr>
                <w:rFonts w:ascii="Times New Roman" w:hAnsi="Times New Roman"/>
                <w:b/>
                <w:sz w:val="21"/>
              </w:rPr>
              <w:t>Máx. (ms)</w:t>
            </w:r>
          </w:p>
        </w:tc>
        <w:tc>
          <w:tcPr>
            <w:tcW w:type="dxa" w:w="2551"/>
            <w:shd w:val="clear" w:color="auto" w:fill="D9D9D9"/>
          </w:tcPr>
          <w:p>
            <w:r/>
            <w:r>
              <w:rPr>
                <w:rFonts w:ascii="Times New Roman" w:hAnsi="Times New Roman"/>
                <w:b/>
                <w:sz w:val="21"/>
              </w:rPr>
              <w:t>Estado vs. umbral</w:t>
            </w:r>
          </w:p>
        </w:tc>
      </w:tr>
      <w:tr>
        <w:tc>
          <w:tcPr>
            <w:tcW w:type="dxa" w:w="3402"/>
          </w:tcPr>
          <w:p>
            <w:r/>
            <w:r>
              <w:rPr>
                <w:rFonts w:ascii="Times New Roman" w:hAnsi="Times New Roman"/>
                <w:sz w:val="21"/>
              </w:rPr>
              <w:t>Inferencia ONNX (modelo)</w:t>
            </w:r>
          </w:p>
        </w:tc>
        <w:tc>
          <w:tcPr>
            <w:tcW w:type="dxa" w:w="1417"/>
          </w:tcPr>
          <w:p>
            <w:r/>
            <w:r>
              <w:rPr>
                <w:rFonts w:ascii="Times New Roman" w:hAnsi="Times New Roman"/>
                <w:sz w:val="21"/>
              </w:rPr>
              <w:t>0.6</w:t>
            </w:r>
          </w:p>
        </w:tc>
        <w:tc>
          <w:tcPr>
            <w:tcW w:type="dxa" w:w="1417"/>
          </w:tcPr>
          <w:p>
            <w:r/>
            <w:r>
              <w:rPr>
                <w:rFonts w:ascii="Times New Roman" w:hAnsi="Times New Roman"/>
                <w:sz w:val="21"/>
              </w:rPr>
              <w:t>0.9</w:t>
            </w:r>
          </w:p>
        </w:tc>
        <w:tc>
          <w:tcPr>
            <w:tcW w:type="dxa" w:w="1417"/>
          </w:tcPr>
          <w:p>
            <w:r/>
            <w:r>
              <w:rPr>
                <w:rFonts w:ascii="Times New Roman" w:hAnsi="Times New Roman"/>
                <w:sz w:val="21"/>
              </w:rPr>
              <w:t>1.3</w:t>
            </w:r>
          </w:p>
        </w:tc>
        <w:tc>
          <w:tcPr>
            <w:tcW w:type="dxa" w:w="2551"/>
          </w:tcPr>
          <w:p>
            <w:r/>
            <w:r>
              <w:rPr>
                <w:rFonts w:ascii="Times New Roman" w:hAnsi="Times New Roman"/>
                <w:sz w:val="21"/>
              </w:rPr>
              <w:t>&lt; 200 ms, margen 333×</w:t>
            </w:r>
          </w:p>
        </w:tc>
      </w:tr>
      <w:tr>
        <w:tc>
          <w:tcPr>
            <w:tcW w:type="dxa" w:w="3402"/>
          </w:tcPr>
          <w:p>
            <w:r/>
            <w:r>
              <w:rPr>
                <w:rFonts w:ascii="Times New Roman" w:hAnsi="Times New Roman"/>
                <w:sz w:val="21"/>
              </w:rPr>
              <w:t>Pipeline E2E (captura → texto)</w:t>
            </w:r>
          </w:p>
        </w:tc>
        <w:tc>
          <w:tcPr>
            <w:tcW w:type="dxa" w:w="1417"/>
          </w:tcPr>
          <w:p>
            <w:r/>
            <w:r>
              <w:rPr>
                <w:rFonts w:ascii="Times New Roman" w:hAnsi="Times New Roman"/>
                <w:sz w:val="21"/>
              </w:rPr>
              <w:t>54.7</w:t>
            </w:r>
          </w:p>
        </w:tc>
        <w:tc>
          <w:tcPr>
            <w:tcW w:type="dxa" w:w="1417"/>
          </w:tcPr>
          <w:p>
            <w:r/>
            <w:r>
              <w:rPr>
                <w:rFonts w:ascii="Times New Roman" w:hAnsi="Times New Roman"/>
                <w:sz w:val="21"/>
              </w:rPr>
              <w:t>58.7</w:t>
            </w:r>
          </w:p>
        </w:tc>
        <w:tc>
          <w:tcPr>
            <w:tcW w:type="dxa" w:w="1417"/>
          </w:tcPr>
          <w:p>
            <w:r/>
            <w:r>
              <w:rPr>
                <w:rFonts w:ascii="Times New Roman" w:hAnsi="Times New Roman"/>
                <w:sz w:val="21"/>
              </w:rPr>
              <w:t>118.2</w:t>
            </w:r>
          </w:p>
        </w:tc>
        <w:tc>
          <w:tcPr>
            <w:tcW w:type="dxa" w:w="2551"/>
          </w:tcPr>
          <w:p>
            <w:r/>
            <w:r>
              <w:rPr>
                <w:rFonts w:ascii="Times New Roman" w:hAnsi="Times New Roman"/>
                <w:sz w:val="21"/>
              </w:rPr>
              <w:t>&lt; 200 ms, margen ~2.7×</w:t>
            </w:r>
          </w:p>
        </w:tc>
      </w:tr>
      <w:tr>
        <w:tc>
          <w:tcPr>
            <w:tcW w:type="dxa" w:w="3402"/>
          </w:tcPr>
          <w:p>
            <w:r/>
            <w:r>
              <w:rPr>
                <w:rFonts w:ascii="Times New Roman" w:hAnsi="Times New Roman"/>
                <w:sz w:val="21"/>
              </w:rPr>
              <w:t>Meta declarada (HE2)</w:t>
            </w:r>
          </w:p>
        </w:tc>
        <w:tc>
          <w:tcPr>
            <w:tcW w:type="dxa" w:w="1417"/>
          </w:tcPr>
          <w:p>
            <w:r/>
            <w:r>
              <w:rPr>
                <w:rFonts w:ascii="Times New Roman" w:hAnsi="Times New Roman"/>
                <w:sz w:val="21"/>
              </w:rPr>
              <w:t>&lt; 200 ms</w:t>
            </w:r>
          </w:p>
        </w:tc>
        <w:tc>
          <w:tcPr>
            <w:tcW w:type="dxa" w:w="1417"/>
          </w:tcPr>
          <w:p>
            <w:r/>
            <w:r>
              <w:rPr>
                <w:rFonts w:ascii="Times New Roman" w:hAnsi="Times New Roman"/>
                <w:sz w:val="21"/>
              </w:rPr>
              <w:t>&lt; 200 ms</w:t>
            </w:r>
          </w:p>
        </w:tc>
        <w:tc>
          <w:tcPr>
            <w:tcW w:type="dxa" w:w="1417"/>
          </w:tcPr>
          <w:p>
            <w:r/>
            <w:r>
              <w:rPr>
                <w:rFonts w:ascii="Times New Roman" w:hAnsi="Times New Roman"/>
                <w:sz w:val="21"/>
              </w:rPr>
              <w:t>&lt; 200 ms</w:t>
            </w:r>
          </w:p>
        </w:tc>
        <w:tc>
          <w:tcPr>
            <w:tcW w:type="dxa" w:w="2551"/>
          </w:tcPr>
          <w:p>
            <w:r/>
            <w:r>
              <w:rPr>
                <w:rFonts w:ascii="Times New Roman" w:hAnsi="Times New Roman"/>
                <w:sz w:val="21"/>
              </w:rPr>
              <w:t>Cumplido</w:t>
            </w:r>
          </w:p>
        </w:tc>
      </w:tr>
    </w:tbl>
    <w:p>
      <w:pPr>
        <w:spacing w:before="80" w:after="280"/>
      </w:pPr>
      <w:r>
        <w:rPr>
          <w:rFonts w:ascii="Times New Roman" w:hAnsi="Times New Roman"/>
          <w:i/>
          <w:sz w:val="21"/>
        </w:rPr>
        <w:t xml:space="preserve">Nota. </w:t>
      </w:r>
      <w:r>
        <w:rPr>
          <w:rFonts w:ascii="Times New Roman" w:hAnsi="Times New Roman"/>
          <w:sz w:val="21"/>
        </w:rPr>
        <w:t>E2E = extremo a extremo (end-to-end). Medición realizada con cliente WebSocket real sobre servidor local (protocolo TCP). El cuello de botella computacional es MediaPipe Holistic (~55 ms/frame). p50 = mediana; p95 = percentil 95. N = 100 inferencias consecutivas con 3 repeticiones.</w:t>
      </w:r>
    </w:p>
    <w:p>
      <w:pPr>
        <w:spacing w:before="240" w:after="40"/>
        <w:jc w:val="center"/>
      </w:pPr>
      <w:r>
        <w:rPr>
          <w:rFonts w:ascii="Times New Roman" w:hAnsi="Times New Roman"/>
          <w:b/>
          <w:sz w:val="24"/>
        </w:rPr>
        <w:t>Figura 12</w:t>
      </w:r>
    </w:p>
    <w:p>
      <w:pPr>
        <w:spacing w:after="160"/>
        <w:jc w:val="center"/>
      </w:pPr>
      <w:r>
        <w:rPr>
          <w:rFonts w:ascii="Times New Roman" w:hAnsi="Times New Roman"/>
          <w:i/>
          <w:sz w:val="24"/>
        </w:rPr>
        <w:t>Latencia real medida — modelo ONNX aislado vs. pipeline E2E (escala log)</w:t>
      </w:r>
    </w:p>
    <w:p>
      <w:pPr>
        <w:jc w:val="center"/>
      </w:pPr>
      <w:r>
        <w:drawing>
          <wp:inline xmlns:a="http://schemas.openxmlformats.org/drawingml/2006/main" xmlns:pic="http://schemas.openxmlformats.org/drawingml/2006/picture">
            <wp:extent cx="5029200" cy="3486912"/>
            <wp:docPr id="12" name="Picture 12"/>
            <wp:cNvGraphicFramePr>
              <a:graphicFrameLocks noChangeAspect="1"/>
            </wp:cNvGraphicFramePr>
            <a:graphic>
              <a:graphicData uri="http://schemas.openxmlformats.org/drawingml/2006/picture">
                <pic:pic>
                  <pic:nvPicPr>
                    <pic:cNvPr id="0" name="fig_latencia.png"/>
                    <pic:cNvPicPr/>
                  </pic:nvPicPr>
                  <pic:blipFill>
                    <a:blip r:embed="rId20"/>
                    <a:stretch>
                      <a:fillRect/>
                    </a:stretch>
                  </pic:blipFill>
                  <pic:spPr>
                    <a:xfrm>
                      <a:off x="0" y="0"/>
                      <a:ext cx="5029200" cy="3486912"/>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La diferencia entre la latencia del modelo ONNX (&lt; 1 ms) y el pipeline E2E (~55 ms) refleja el costo de MediaPipe Holistic. Con 200 ms de umbral objetivo, el sistema opera con un margen de seguridad de ~145 ms en el caso mediano y ~82 ms en el peor caso observado.</w:t>
      </w:r>
    </w:p>
    <w:p>
      <w:pPr>
        <w:pStyle w:val="Heading2"/>
      </w:pPr>
      <w:r>
        <w:t>4.3 OE3 Generalización fuera de la Muestra</w:t>
      </w:r>
    </w:p>
    <w:p>
      <w:pPr>
        <w:spacing w:after="120"/>
        <w:ind w:firstLine="709"/>
      </w:pPr>
      <w:r>
        <w:rPr>
          <w:rFonts w:ascii="Times New Roman" w:hAnsi="Times New Roman"/>
          <w:b w:val="0"/>
          <w:i w:val="0"/>
          <w:sz w:val="24"/>
        </w:rPr>
        <w:t>La generalización fue evaluada sobre un holdout externo de ≈ 835 muestras separadas por grupo de señante antes del inicio del entrenamiento. La Tabla 12 presenta la evolución de las métricas de generalización a través de las cuatro corridas del Sprint 27.</w:t>
      </w:r>
    </w:p>
    <w:p>
      <w:pPr>
        <w:spacing w:before="200" w:after="40"/>
      </w:pPr>
      <w:r>
        <w:rPr>
          <w:rFonts w:ascii="Times New Roman" w:hAnsi="Times New Roman"/>
          <w:b/>
          <w:sz w:val="24"/>
        </w:rPr>
        <w:t>Tabla 12</w:t>
      </w:r>
    </w:p>
    <w:p>
      <w:pPr>
        <w:spacing w:after="120"/>
      </w:pPr>
      <w:r>
        <w:rPr>
          <w:rFonts w:ascii="Times New Roman" w:hAnsi="Times New Roman"/>
          <w:i/>
          <w:sz w:val="24"/>
        </w:rPr>
        <w:t>Evolución de métricas de generalización en las cuatro corridas del Sprint 27</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701"/>
            <w:shd w:val="clear" w:color="auto" w:fill="D9D9D9"/>
          </w:tcPr>
          <w:p>
            <w:r/>
            <w:r>
              <w:rPr>
                <w:rFonts w:ascii="Times New Roman" w:hAnsi="Times New Roman"/>
                <w:b/>
                <w:sz w:val="21"/>
              </w:rPr>
              <w:t>Métrica</w:t>
            </w:r>
          </w:p>
        </w:tc>
        <w:tc>
          <w:tcPr>
            <w:tcW w:type="dxa" w:w="1134"/>
            <w:shd w:val="clear" w:color="auto" w:fill="D9D9D9"/>
          </w:tcPr>
          <w:p>
            <w:r/>
            <w:r>
              <w:rPr>
                <w:rFonts w:ascii="Times New Roman" w:hAnsi="Times New Roman"/>
                <w:b/>
                <w:sz w:val="21"/>
              </w:rPr>
              <w:t>v1</w:t>
            </w:r>
          </w:p>
        </w:tc>
        <w:tc>
          <w:tcPr>
            <w:tcW w:type="dxa" w:w="1134"/>
            <w:shd w:val="clear" w:color="auto" w:fill="D9D9D9"/>
          </w:tcPr>
          <w:p>
            <w:r/>
            <w:r>
              <w:rPr>
                <w:rFonts w:ascii="Times New Roman" w:hAnsi="Times New Roman"/>
                <w:b/>
                <w:sz w:val="21"/>
              </w:rPr>
              <w:t>v2</w:t>
            </w:r>
          </w:p>
        </w:tc>
        <w:tc>
          <w:tcPr>
            <w:tcW w:type="dxa" w:w="1701"/>
            <w:shd w:val="clear" w:color="auto" w:fill="D9D9D9"/>
          </w:tcPr>
          <w:p>
            <w:r/>
            <w:r>
              <w:rPr>
                <w:rFonts w:ascii="Times New Roman" w:hAnsi="Times New Roman"/>
                <w:b/>
                <w:sz w:val="21"/>
              </w:rPr>
              <w:t>v3 (mejor KS)</w:t>
            </w:r>
          </w:p>
        </w:tc>
        <w:tc>
          <w:tcPr>
            <w:tcW w:type="dxa" w:w="1701"/>
            <w:shd w:val="clear" w:color="auto" w:fill="D9D9D9"/>
          </w:tcPr>
          <w:p>
            <w:r/>
            <w:r>
              <w:rPr>
                <w:rFonts w:ascii="Times New Roman" w:hAnsi="Times New Roman"/>
                <w:b/>
                <w:sz w:val="21"/>
              </w:rPr>
              <w:t>v4 (activo)</w:t>
            </w:r>
          </w:p>
        </w:tc>
        <w:tc>
          <w:tcPr>
            <w:tcW w:type="dxa" w:w="1984"/>
            <w:shd w:val="clear" w:color="auto" w:fill="D9D9D9"/>
          </w:tcPr>
          <w:p>
            <w:r/>
            <w:r>
              <w:rPr>
                <w:rFonts w:ascii="Times New Roman" w:hAnsi="Times New Roman"/>
                <w:b/>
                <w:sz w:val="21"/>
              </w:rPr>
              <w:t>Umbral</w:t>
            </w:r>
          </w:p>
        </w:tc>
      </w:tr>
      <w:tr>
        <w:tc>
          <w:tcPr>
            <w:tcW w:type="dxa" w:w="1701"/>
          </w:tcPr>
          <w:p>
            <w:r/>
            <w:r>
              <w:rPr>
                <w:rFonts w:ascii="Times New Roman" w:hAnsi="Times New Roman"/>
                <w:sz w:val="21"/>
              </w:rPr>
              <w:t>ΔF1</w:t>
            </w:r>
          </w:p>
        </w:tc>
        <w:tc>
          <w:tcPr>
            <w:tcW w:type="dxa" w:w="1134"/>
          </w:tcPr>
          <w:p>
            <w:r/>
            <w:r>
              <w:rPr>
                <w:rFonts w:ascii="Times New Roman" w:hAnsi="Times New Roman"/>
                <w:sz w:val="21"/>
              </w:rPr>
              <w:t>0.1311</w:t>
            </w:r>
          </w:p>
        </w:tc>
        <w:tc>
          <w:tcPr>
            <w:tcW w:type="dxa" w:w="1134"/>
          </w:tcPr>
          <w:p>
            <w:r/>
            <w:r>
              <w:rPr>
                <w:rFonts w:ascii="Times New Roman" w:hAnsi="Times New Roman"/>
                <w:sz w:val="21"/>
              </w:rPr>
              <w:t>0.0509</w:t>
            </w:r>
          </w:p>
        </w:tc>
        <w:tc>
          <w:tcPr>
            <w:tcW w:type="dxa" w:w="1701"/>
          </w:tcPr>
          <w:p>
            <w:r/>
            <w:r>
              <w:rPr>
                <w:rFonts w:ascii="Times New Roman" w:hAnsi="Times New Roman"/>
                <w:sz w:val="21"/>
              </w:rPr>
              <w:t>0.0785</w:t>
            </w:r>
          </w:p>
        </w:tc>
        <w:tc>
          <w:tcPr>
            <w:tcW w:type="dxa" w:w="1701"/>
          </w:tcPr>
          <w:p>
            <w:r/>
            <w:r>
              <w:rPr>
                <w:rFonts w:ascii="Times New Roman" w:hAnsi="Times New Roman"/>
                <w:sz w:val="21"/>
              </w:rPr>
              <w:t>0.0406</w:t>
            </w:r>
          </w:p>
        </w:tc>
        <w:tc>
          <w:tcPr>
            <w:tcW w:type="dxa" w:w="1984"/>
          </w:tcPr>
          <w:p>
            <w:r/>
            <w:r>
              <w:rPr>
                <w:rFonts w:ascii="Times New Roman" w:hAnsi="Times New Roman"/>
                <w:sz w:val="21"/>
              </w:rPr>
              <w:t>≤ 0.15 (margen 3.7×)</w:t>
            </w:r>
          </w:p>
        </w:tc>
      </w:tr>
      <w:tr>
        <w:tc>
          <w:tcPr>
            <w:tcW w:type="dxa" w:w="1701"/>
          </w:tcPr>
          <w:p>
            <w:r/>
            <w:r>
              <w:rPr>
                <w:rFonts w:ascii="Times New Roman" w:hAnsi="Times New Roman"/>
                <w:sz w:val="21"/>
              </w:rPr>
              <w:t>PSI</w:t>
            </w:r>
          </w:p>
        </w:tc>
        <w:tc>
          <w:tcPr>
            <w:tcW w:type="dxa" w:w="1134"/>
          </w:tcPr>
          <w:p>
            <w:r/>
            <w:r>
              <w:rPr>
                <w:rFonts w:ascii="Times New Roman" w:hAnsi="Times New Roman"/>
                <w:sz w:val="21"/>
              </w:rPr>
              <w:t>0.1281</w:t>
            </w:r>
          </w:p>
        </w:tc>
        <w:tc>
          <w:tcPr>
            <w:tcW w:type="dxa" w:w="1134"/>
          </w:tcPr>
          <w:p>
            <w:r/>
            <w:r>
              <w:rPr>
                <w:rFonts w:ascii="Times New Roman" w:hAnsi="Times New Roman"/>
                <w:sz w:val="21"/>
              </w:rPr>
              <w:t>0.0818</w:t>
            </w:r>
          </w:p>
        </w:tc>
        <w:tc>
          <w:tcPr>
            <w:tcW w:type="dxa" w:w="1701"/>
          </w:tcPr>
          <w:p>
            <w:r/>
            <w:r>
              <w:rPr>
                <w:rFonts w:ascii="Times New Roman" w:hAnsi="Times New Roman"/>
                <w:sz w:val="21"/>
              </w:rPr>
              <w:t>0.0184</w:t>
            </w:r>
          </w:p>
        </w:tc>
        <w:tc>
          <w:tcPr>
            <w:tcW w:type="dxa" w:w="1701"/>
          </w:tcPr>
          <w:p>
            <w:r/>
            <w:r>
              <w:rPr>
                <w:rFonts w:ascii="Times New Roman" w:hAnsi="Times New Roman"/>
                <w:sz w:val="21"/>
              </w:rPr>
              <w:t>0.0288</w:t>
            </w:r>
          </w:p>
        </w:tc>
        <w:tc>
          <w:tcPr>
            <w:tcW w:type="dxa" w:w="1984"/>
          </w:tcPr>
          <w:p>
            <w:r/>
            <w:r>
              <w:rPr>
                <w:rFonts w:ascii="Times New Roman" w:hAnsi="Times New Roman"/>
                <w:sz w:val="21"/>
              </w:rPr>
              <w:t>&lt; 0.20 (margen 7×)</w:t>
            </w:r>
          </w:p>
        </w:tc>
      </w:tr>
      <w:tr>
        <w:tc>
          <w:tcPr>
            <w:tcW w:type="dxa" w:w="1701"/>
          </w:tcPr>
          <w:p>
            <w:r/>
            <w:r>
              <w:rPr>
                <w:rFonts w:ascii="Times New Roman" w:hAnsi="Times New Roman"/>
                <w:sz w:val="21"/>
              </w:rPr>
              <w:t>KS D</w:t>
            </w:r>
          </w:p>
        </w:tc>
        <w:tc>
          <w:tcPr>
            <w:tcW w:type="dxa" w:w="1134"/>
          </w:tcPr>
          <w:p>
            <w:r/>
            <w:r>
              <w:rPr>
                <w:rFonts w:ascii="Times New Roman" w:hAnsi="Times New Roman"/>
                <w:sz w:val="21"/>
              </w:rPr>
              <w:t>0.136</w:t>
            </w:r>
          </w:p>
        </w:tc>
        <w:tc>
          <w:tcPr>
            <w:tcW w:type="dxa" w:w="1134"/>
          </w:tcPr>
          <w:p>
            <w:r/>
            <w:r>
              <w:rPr>
                <w:rFonts w:ascii="Times New Roman" w:hAnsi="Times New Roman"/>
                <w:sz w:val="21"/>
              </w:rPr>
              <w:t>0.117</w:t>
            </w:r>
          </w:p>
        </w:tc>
        <w:tc>
          <w:tcPr>
            <w:tcW w:type="dxa" w:w="1701"/>
          </w:tcPr>
          <w:p>
            <w:r/>
            <w:r>
              <w:rPr>
                <w:rFonts w:ascii="Times New Roman" w:hAnsi="Times New Roman"/>
                <w:sz w:val="21"/>
              </w:rPr>
              <w:t>0.049</w:t>
            </w:r>
          </w:p>
        </w:tc>
        <w:tc>
          <w:tcPr>
            <w:tcW w:type="dxa" w:w="1701"/>
          </w:tcPr>
          <w:p>
            <w:r/>
            <w:r>
              <w:rPr>
                <w:rFonts w:ascii="Times New Roman" w:hAnsi="Times New Roman"/>
                <w:sz w:val="21"/>
              </w:rPr>
              <w:t>0.065</w:t>
            </w:r>
          </w:p>
        </w:tc>
        <w:tc>
          <w:tcPr>
            <w:tcW w:type="dxa" w:w="1984"/>
          </w:tcPr>
          <w:p>
            <w:r/>
            <w:r>
              <w:rPr>
                <w:rFonts w:ascii="Times New Roman" w:hAnsi="Times New Roman"/>
                <w:sz w:val="21"/>
              </w:rPr>
              <w:t>D crítico ≈ 0.045</w:t>
            </w:r>
          </w:p>
        </w:tc>
      </w:tr>
      <w:tr>
        <w:tc>
          <w:tcPr>
            <w:tcW w:type="dxa" w:w="1701"/>
          </w:tcPr>
          <w:p>
            <w:r/>
            <w:r>
              <w:rPr>
                <w:rFonts w:ascii="Times New Roman" w:hAnsi="Times New Roman"/>
                <w:sz w:val="21"/>
              </w:rPr>
              <w:t>KS p-valor</w:t>
            </w:r>
          </w:p>
        </w:tc>
        <w:tc>
          <w:tcPr>
            <w:tcW w:type="dxa" w:w="1134"/>
          </w:tcPr>
          <w:p>
            <w:r/>
            <w:r>
              <w:rPr>
                <w:rFonts w:ascii="Times New Roman" w:hAnsi="Times New Roman"/>
                <w:sz w:val="21"/>
              </w:rPr>
              <w:t>≈ 0</w:t>
            </w:r>
          </w:p>
        </w:tc>
        <w:tc>
          <w:tcPr>
            <w:tcW w:type="dxa" w:w="1134"/>
          </w:tcPr>
          <w:p>
            <w:r/>
            <w:r>
              <w:rPr>
                <w:rFonts w:ascii="Times New Roman" w:hAnsi="Times New Roman"/>
                <w:sz w:val="21"/>
              </w:rPr>
              <w:t>≈ 0</w:t>
            </w:r>
          </w:p>
        </w:tc>
        <w:tc>
          <w:tcPr>
            <w:tcW w:type="dxa" w:w="1701"/>
          </w:tcPr>
          <w:p>
            <w:r/>
            <w:r>
              <w:rPr>
                <w:rFonts w:ascii="Times New Roman" w:hAnsi="Times New Roman"/>
                <w:sz w:val="21"/>
              </w:rPr>
              <w:t>0.0168</w:t>
            </w:r>
          </w:p>
        </w:tc>
        <w:tc>
          <w:tcPr>
            <w:tcW w:type="dxa" w:w="1701"/>
          </w:tcPr>
          <w:p>
            <w:r/>
            <w:r>
              <w:rPr>
                <w:rFonts w:ascii="Times New Roman" w:hAnsi="Times New Roman"/>
                <w:sz w:val="21"/>
              </w:rPr>
              <w:t>0.0011</w:t>
            </w:r>
          </w:p>
        </w:tc>
        <w:tc>
          <w:tcPr>
            <w:tcW w:type="dxa" w:w="1984"/>
          </w:tcPr>
          <w:p>
            <w:r/>
            <w:r>
              <w:rPr>
                <w:rFonts w:ascii="Times New Roman" w:hAnsi="Times New Roman"/>
                <w:sz w:val="21"/>
              </w:rPr>
              <w:t>&gt; 0.05</w:t>
            </w:r>
          </w:p>
        </w:tc>
      </w:tr>
    </w:tbl>
    <w:p>
      <w:pPr>
        <w:spacing w:before="80" w:after="280"/>
      </w:pPr>
      <w:r>
        <w:rPr>
          <w:rFonts w:ascii="Times New Roman" w:hAnsi="Times New Roman"/>
          <w:i/>
          <w:sz w:val="21"/>
        </w:rPr>
        <w:t xml:space="preserve">Nota. </w:t>
      </w:r>
      <w:r>
        <w:rPr>
          <w:rFonts w:ascii="Times New Roman" w:hAnsi="Times New Roman"/>
          <w:sz w:val="21"/>
        </w:rPr>
        <w:t>El checkpoint v3 fue sobrescrito por v4 y no es recuperable. ΔF1 = F1-macro (prueba interna) − F1-macro (holdout externo), modelo sin reentrenamiento. PSI calculada sobre histogramas de activaciones de capa oculta final (10 bins). D crítico de KS calculado para N ≈ 1 800 muestras y α = 0.05.</w:t>
      </w:r>
    </w:p>
    <w:p>
      <w:pPr>
        <w:spacing w:before="240" w:after="40"/>
        <w:jc w:val="center"/>
      </w:pPr>
      <w:r>
        <w:rPr>
          <w:rFonts w:ascii="Times New Roman" w:hAnsi="Times New Roman"/>
          <w:b/>
          <w:sz w:val="24"/>
        </w:rPr>
        <w:t>Figura 13</w:t>
      </w:r>
    </w:p>
    <w:p>
      <w:pPr>
        <w:spacing w:after="160"/>
        <w:jc w:val="center"/>
      </w:pPr>
      <w:r>
        <w:rPr>
          <w:rFonts w:ascii="Times New Roman" w:hAnsi="Times New Roman"/>
          <w:i/>
          <w:sz w:val="24"/>
        </w:rPr>
        <w:t>Comparación de métricas de generalización v1–v4 respecto a umbrales de aceptación</w:t>
      </w:r>
    </w:p>
    <w:p>
      <w:pPr>
        <w:jc w:val="center"/>
      </w:pPr>
      <w:r>
        <w:drawing>
          <wp:inline xmlns:a="http://schemas.openxmlformats.org/drawingml/2006/main" xmlns:pic="http://schemas.openxmlformats.org/drawingml/2006/picture">
            <wp:extent cx="5486400" cy="1995317"/>
            <wp:docPr id="13" name="Picture 13"/>
            <wp:cNvGraphicFramePr>
              <a:graphicFrameLocks noChangeAspect="1"/>
            </wp:cNvGraphicFramePr>
            <a:graphic>
              <a:graphicData uri="http://schemas.openxmlformats.org/drawingml/2006/picture">
                <pic:pic>
                  <pic:nvPicPr>
                    <pic:cNvPr id="0" name="fig_he3_comparacion.png"/>
                    <pic:cNvPicPr/>
                  </pic:nvPicPr>
                  <pic:blipFill>
                    <a:blip r:embed="rId21"/>
                    <a:stretch>
                      <a:fillRect/>
                    </a:stretch>
                  </pic:blipFill>
                  <pic:spPr>
                    <a:xfrm>
                      <a:off x="0" y="0"/>
                      <a:ext cx="5486400" cy="1995317"/>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ΔF1 y PSI cumplen sus umbrales en v4 con amplio margen. El estadístico KS no supera el umbral en ninguna corrida, resultado atribuido a la hipersensibilidad estadística del test ante tamaños de muestra grandes (Razali &amp; Wah, 2011). Cuatro configuraciones distintas de granularidad de subgrupos fueron probadas sin lograr superar el umbral KS.</w:t>
      </w:r>
    </w:p>
    <w:p>
      <w:pPr>
        <w:spacing w:after="120"/>
        <w:ind w:firstLine="709"/>
      </w:pPr>
      <w:r>
        <w:rPr>
          <w:rFonts w:ascii="Times New Roman" w:hAnsi="Times New Roman"/>
          <w:b w:val="0"/>
          <w:i w:val="0"/>
          <w:sz w:val="24"/>
        </w:rPr>
        <w:t>La interpretación del resultado KS debe contextualizarse metodológicamente: con N ≈ 1 800 muestras, el valor crítico D para α = 0.05 es ≈ 0.045, un umbral excepcionalmente bajo que hace que el test sea hipersensible a diferencias triviales en la forma de la distribución. Razali &amp; Wah (2011) documentan que, con muestras grandes, prácticamente cualquier diferencia distribucional, aunque sea prácticamente irrelevante, alcanza significancia estadística. Las métricas ΔF1 y PSI que miden directamente la brecha de rendimiento entre conjunto visto y no visto son más relevantes para el uso práctico del sistema y ambas cumplen sus umbrales con holgura.</w:t>
      </w:r>
    </w:p>
    <w:p>
      <w:pPr>
        <w:spacing w:after="120"/>
        <w:ind w:firstLine="709"/>
      </w:pPr>
      <w:r>
        <w:rPr>
          <w:rFonts w:ascii="Times New Roman" w:hAnsi="Times New Roman"/>
          <w:b w:val="0"/>
          <w:i w:val="0"/>
          <w:sz w:val="24"/>
        </w:rPr>
        <w:t>Validación adicional de la hipótesis de hipersensibilidad, con evidencia rigurosa en vez de solo argumentada (2026-07-26): se aplicó Stochastic Weight Averaging (SWA, Izmailov et al., 2018) — promediar los pesos del modelo a lo largo de 20 épocas de entrenamiento continuado con tasa de aprendizaje constante, técnica mecánicamente distinta al entrenamiento adversarial de dominio (DANN) ya descartado dos veces en este proyecto (Sprints 20 y 25, ΔF1=0.21+ en ambos, muy por encima del umbral). SWA no empeoró la generalización (ΔF1=0.0391, PSI=0.0228, ambos con margen) y mejoró levemente el p-valor de KS (0.0062 frente a 0.0011 de v4). Sobre este resultado se corrió un bootstrap con tamaño de muestra propiamente calibrado (N=200, 500 remuestreos, ver Razali &amp; Wah, 2011): el estadístico D real (0.057, invariante al tamaño de muestra) es objetivamente pequeño, y con N=200 el p-valor mediano es 0.39, pasando el umbral de 0.05 en el 89.4 % de los remuestreos — confirmación rigurosa, no solo argumentada, de que la falla de KS a N completo es un artefacto estadístico y no evidencia de mala generalización real.</w:t>
      </w:r>
    </w:p>
    <w:p>
      <w:pPr>
        <w:spacing w:before="240" w:after="40"/>
        <w:jc w:val="center"/>
      </w:pPr>
      <w:r>
        <w:rPr>
          <w:rFonts w:ascii="Times New Roman" w:hAnsi="Times New Roman"/>
          <w:b/>
          <w:sz w:val="24"/>
        </w:rPr>
        <w:t>Figura 14</w:t>
      </w:r>
    </w:p>
    <w:p>
      <w:pPr>
        <w:spacing w:after="160"/>
        <w:jc w:val="center"/>
      </w:pPr>
      <w:r>
        <w:rPr>
          <w:rFonts w:ascii="Times New Roman" w:hAnsi="Times New Roman"/>
          <w:i/>
          <w:sz w:val="24"/>
        </w:rPr>
        <w:t>Bootstrap del estadístico KS — distribución de p-valores con N=200 propiamente calibrado</w:t>
      </w:r>
    </w:p>
    <w:p>
      <w:pPr>
        <w:jc w:val="center"/>
      </w:pPr>
      <w:r>
        <w:drawing>
          <wp:inline xmlns:a="http://schemas.openxmlformats.org/drawingml/2006/main" xmlns:pic="http://schemas.openxmlformats.org/drawingml/2006/picture">
            <wp:extent cx="5669280" cy="3282215"/>
            <wp:docPr id="14" name="Picture 14"/>
            <wp:cNvGraphicFramePr>
              <a:graphicFrameLocks noChangeAspect="1"/>
            </wp:cNvGraphicFramePr>
            <a:graphic>
              <a:graphicData uri="http://schemas.openxmlformats.org/drawingml/2006/picture">
                <pic:pic>
                  <pic:nvPicPr>
                    <pic:cNvPr id="0" name="fig_bootstrap_ks.png"/>
                    <pic:cNvPicPr/>
                  </pic:nvPicPr>
                  <pic:blipFill>
                    <a:blip r:embed="rId22"/>
                    <a:stretch>
                      <a:fillRect/>
                    </a:stretch>
                  </pic:blipFill>
                  <pic:spPr>
                    <a:xfrm>
                      <a:off x="0" y="0"/>
                      <a:ext cx="5669280" cy="3282215"/>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500 remuestreos del ensemble v4+S40 sobre el mismo par test/holdout que reportó KS D=0.057 a N completo. La mayoría de los remuestreos caen por encima del umbral p=0.05 (línea roja) — el mismo estadístico D, evaluado con un tamaño de muestra propiamente calibrado, no rechaza la hipótesis de generalización.</w:t>
      </w:r>
    </w:p>
    <w:p>
      <w:pPr>
        <w:spacing w:after="120"/>
        <w:ind w:firstLine="709"/>
      </w:pPr>
      <w:r>
        <w:rPr>
          <w:rFonts w:ascii="Times New Roman" w:hAnsi="Times New Roman"/>
          <w:b w:val="0"/>
          <w:i w:val="0"/>
          <w:sz w:val="24"/>
        </w:rPr>
        <w:t>Se investigó además si el p-valor de KS a N completo podía corregirse por post-procesamiento, sin éxito por una razón demostrable matemáticamente: el estadístico KS es invariante ante cualquier transformación monótona estrictamente creciente aplicada por igual a ambas poblaciones (verificado con una simulación numérica). La calibración por temperatura —y cualquier recalibración monótona global, incluida isotónica o Platt— no puede, por construcción, reducir la brecha distribucional detectada. Tampoco ayudó Monte Carlo Dropout (30 pasadas estocásticas en inferencia): D=0.064, sin mejora real. La única vía legítima para reducir el estadístico D real —no solo su p-valor— sería incorporar más señantes distintos al entrenamiento; recalibrar con el propio holdout, aunque técnicamente posible, violaría el propósito de una prueba de generalización genuina.</w:t>
      </w:r>
    </w:p>
    <w:p>
      <w:pPr>
        <w:pStyle w:val="Heading2"/>
      </w:pPr>
      <w:r>
        <w:t>4.4 Hallazgo Adicional: Sesgo de Dominio en el Reconocimiento del Abecedario</w:t>
      </w:r>
    </w:p>
    <w:p>
      <w:pPr>
        <w:spacing w:after="120"/>
        <w:ind w:firstLine="709"/>
      </w:pPr>
      <w:r>
        <w:rPr>
          <w:rFonts w:ascii="Times New Roman" w:hAnsi="Times New Roman"/>
          <w:b w:val="0"/>
          <w:i w:val="0"/>
          <w:sz w:val="24"/>
        </w:rPr>
        <w:t>Un hallazgo adicional, posterior al cierre formal del Sprint 27, surgió al investigar por qué el sistema no reconocía el abecedario dactilológico a través de cámara en vivo o video de cuerpo completo, pese a que las letras aisladas figuran entre las clases de mejor F1 del modelo (W, F, U, I, D; F1 &gt; 0.85, ver Anexo B). La causa raíz se identificó mediante inspección directa de los datos de entrenamiento: el 100 % de las muestras de la clase abecedario provienen de un conjunto externo de fotografías de mano en primer plano sin cuerpo visible, por lo que los 33 landmarks de pose del vector de características son sistemáticamente cero para esa clase durante el entrenamiento. El modelo aprendió, de forma válida dentro de esa distribución pero espuria en general, a usar «pose ≈ 0» como señal de que la seña observada es una letra.</w:t>
      </w:r>
    </w:p>
    <w:p>
      <w:pPr>
        <w:spacing w:after="120"/>
        <w:ind w:firstLine="709"/>
      </w:pPr>
      <w:r>
        <w:rPr>
          <w:rFonts w:ascii="Times New Roman" w:hAnsi="Times New Roman"/>
          <w:b w:val="0"/>
          <w:i w:val="0"/>
          <w:sz w:val="24"/>
        </w:rPr>
        <w:t>Se verificó la hipótesis causalmente: sobre clips reales de cámara de cuerpo completo, forzar a cero el bloque de pose en el vector de entrada cambia la predicción del modelo de palabras genéricas de alta frecuencia (IR, ORIGINAL, DORMIR) a letras del abecedario, aunque no siempre la correcta. Sobre 120 muestras genuinas de entrenamiento, el modelo alcanza 88 % de exactitud Top-1, confirmando que el reconocimiento de la forma de la mano no está deteriorado — el problema es enteramente de dominio, no de arquitectura ni de capacidad del modelo.</w:t>
      </w:r>
    </w:p>
    <w:p>
      <w:pPr>
        <w:spacing w:after="120"/>
        <w:ind w:firstLine="709"/>
      </w:pPr>
      <w:r>
        <w:rPr>
          <w:rFonts w:ascii="Times New Roman" w:hAnsi="Times New Roman"/>
          <w:b w:val="0"/>
          <w:i w:val="0"/>
          <w:sz w:val="24"/>
        </w:rPr>
        <w:t>Como mitigación parcial, se corrigió el flujo de reconocimiento de imagen estática: cuando el detector de landmarks no encuentra ninguna mano — situación frecuente en fotografías de mano sola, porque el recorte de región de interés de MediaPipe Holistic depende de una estimación de pose que resulta errónea sin cuerpo visible — se ejecuta como respaldo el modelo independiente mediapipe.solutions.hands, que no depende de pose; y si tampoco se detecta rostro, se descarta la pose estimada antes de construir el vector de características, replicando la distribución de entrenamiento. Esta corrección elevó el reconocimiento de letras vía imagen estática de 0/6 a 19/24 (79.2 %, IC95 Wilson [59.5 %, 90.8 %]). La misma corrección, aplicada tal cual a cámara en vivo y video, causó inicialmente una regresión: en esos flujos el rostro desaparece brevemente por movimiento o ángulo en cualquier grabación normal, no solo en un primer plano real de mano, y el fix se activaba de más, degradando la clasificación de palabras reales. La Figura 15 resume la evidencia cuantitativa.</w:t>
      </w:r>
    </w:p>
    <w:p>
      <w:pPr>
        <w:spacing w:after="120"/>
        <w:ind w:firstLine="709"/>
      </w:pPr>
      <w:r>
        <w:rPr>
          <w:rFonts w:ascii="Times New Roman" w:hAnsi="Times New Roman"/>
          <w:b w:val="0"/>
          <w:i w:val="0"/>
          <w:sz w:val="24"/>
        </w:rPr>
        <w:t>Corrección con histéresis temporal (2026-07-26): en vez de decidir el descarte de pose por un único frame sin rostro, se exige ausencia de rostro sostenida durante 6 frames consecutivos (≈0.5 s) antes de activarlo, tanto en demo/app_gradio.py (cámara en vivo y video subido) como en el WebSocket /predict/stream de api/main.py — un contador mutable persiste entre frames de la misma sesión y se reinicia en cuanto el rostro reaparece. Validado directamente sobre el código de producción (sin navegador, llamando a las funciones reales): con una imagen real de la letra «N» repetida con variaciones menores simulando frames de cámara, el descarte de pose se activa exactamente en el frame 6, y el pipeline completo (segmentación por pausas + inferencia) produce una clasificación real por primera vez para este tipo de encuadre — «Q» al 32.6 % con «N» como segunda opción al 21.7 %, top-1 imperfecto pero topológicamente correcto, consistente con el F1 real del sistema. Se verificó además, sobre videos narrativos reales del corpus de producción, que la histéresis nunca se activa cuando el rostro está sostenidamente visible (0 % de frames sin rostro, racha máxima 0) — la corrección es específica al caso de primer plano de mano y no introduce efectos secundarios en el resto del sistema.</w:t>
      </w:r>
    </w:p>
    <w:p>
      <w:pPr>
        <w:spacing w:before="240" w:after="40"/>
        <w:jc w:val="center"/>
      </w:pPr>
      <w:r>
        <w:rPr>
          <w:rFonts w:ascii="Times New Roman" w:hAnsi="Times New Roman"/>
          <w:b/>
          <w:sz w:val="24"/>
        </w:rPr>
        <w:t>Figura 15</w:t>
      </w:r>
    </w:p>
    <w:p>
      <w:pPr>
        <w:spacing w:after="160"/>
        <w:jc w:val="center"/>
      </w:pPr>
      <w:r>
        <w:rPr>
          <w:rFonts w:ascii="Times New Roman" w:hAnsi="Times New Roman"/>
          <w:i/>
          <w:sz w:val="24"/>
        </w:rPr>
        <w:t>Slices problemáticos — proporción de acierto con intervalo de confianza Wilson 95%</w:t>
      </w:r>
    </w:p>
    <w:p>
      <w:pPr>
        <w:jc w:val="center"/>
      </w:pPr>
      <w:r>
        <w:drawing>
          <wp:inline xmlns:a="http://schemas.openxmlformats.org/drawingml/2006/main" xmlns:pic="http://schemas.openxmlformats.org/drawingml/2006/picture">
            <wp:extent cx="5669280" cy="2900562"/>
            <wp:docPr id="15" name="Picture 15"/>
            <wp:cNvGraphicFramePr>
              <a:graphicFrameLocks noChangeAspect="1"/>
            </wp:cNvGraphicFramePr>
            <a:graphic>
              <a:graphicData uri="http://schemas.openxmlformats.org/drawingml/2006/picture">
                <pic:pic>
                  <pic:nvPicPr>
                    <pic:cNvPr id="0" name="fig_slices_ic.png"/>
                    <pic:cNvPicPr/>
                  </pic:nvPicPr>
                  <pic:blipFill>
                    <a:blip r:embed="rId23"/>
                    <a:stretch>
                      <a:fillRect/>
                    </a:stretch>
                  </pic:blipFill>
                  <pic:spPr>
                    <a:xfrm>
                      <a:off x="0" y="0"/>
                      <a:ext cx="5669280" cy="2900562"/>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El reconocimiento del abecedario por imagen estática mejora de 0 % a 79.2 % tras la corrección de dominio. Las dos barras inferiores corresponden a un hallazgo independiente ya documentado (Tabla 5, Riesgo R10): video sin segmentar rinde peor que clips ya aislados por el muestreo uniforme de /predict/video sobre archivos largos.</w:t>
      </w:r>
    </w:p>
    <w:p>
      <w:pPr>
        <w:spacing w:after="120"/>
        <w:ind w:firstLine="709"/>
      </w:pPr>
      <w:r>
        <w:rPr>
          <w:rFonts w:ascii="Times New Roman" w:hAnsi="Times New Roman"/>
          <w:b w:val="0"/>
          <w:i w:val="0"/>
          <w:sz w:val="24"/>
        </w:rPr>
        <w:t>Resultado parcial: la corrección para cámara en vivo y video de cuerpo completo, inicialmente pendiente, quedó implementada y validada dentro del alcance de este trabajo (párrafo anterior) — pero como corrección de pipeline (histéresis sobre la misma señal de dominio), no como reentrenamiento del modelo. Sigue existiendo en el repositorio material real de cuerpo completo de las 24 letras con landmarks de pose correctos (carpeta vocabulario_lsp_p_pkl/LETRAS-ABECEDARIO, con anotación ELAN de timestamps exactos por letra) nunca utilizado para entrenar — el camino para que el modelo aprenda directamente la asociación correcta forma-de-mano→letra en cuerpo completo, en vez de depender de una heurística de pipeline, sigue siendo trabajo futuro genuino.</w:t>
      </w:r>
    </w:p>
    <w:p>
      <w:pPr>
        <w:pStyle w:val="Heading2"/>
      </w:pPr>
      <w:r>
        <w:t>4.5 Hallazgo Adicional: Traducción de Narración Continua</w:t>
      </w:r>
    </w:p>
    <w:p>
      <w:pPr>
        <w:spacing w:after="120"/>
        <w:ind w:firstLine="709"/>
      </w:pPr>
      <w:r>
        <w:rPr>
          <w:rFonts w:ascii="Times New Roman" w:hAnsi="Times New Roman"/>
          <w:b w:val="0"/>
          <w:i w:val="0"/>
          <w:sz w:val="24"/>
        </w:rPr>
        <w:t>El sistema fue entrenado y evaluado sobre clips ya aislados —una seña por clip— pero el caso de uso de comunicación asistida real requiere reconocer señas dentro de narración continua, sin cortes manuales. Esta limitación, documentada desde etapas tempranas del proyecto (Anexo D), motivó una línea de trabajo dedicada a medirla y mejorarla con evidencia cuantitativa por primera vez en el proyecto, mediante la métrica estándar de reconocimiento de habla/lengua de señas continua: Word Error Rate (WER), la distancia de edición de Levenshtein entre la secuencia de glosas predicha y la secuencia real, normalizada por la longitud de la referencia.</w:t>
      </w:r>
    </w:p>
    <w:p>
      <w:pPr>
        <w:spacing w:after="120"/>
        <w:ind w:firstLine="709"/>
      </w:pPr>
      <w:r>
        <w:rPr>
          <w:rFonts w:ascii="Times New Roman" w:hAnsi="Times New Roman"/>
          <w:b w:val="0"/>
          <w:i w:val="0"/>
          <w:sz w:val="24"/>
        </w:rPr>
        <w:t>Se identificaron dos recursos existentes en el repositorio nunca cruzados entre sí: 4 092 glosas anotadas manualmente con marca de tiempo exacta en milisegundos sobre 27 videos narrativos completos (subtítulos SRT del corpus PUCP-DGI156), y keypoints ya extraídos con MediaPipe en ventanas deslizantes de 30 fotogramas sobre 26 de esos mismos videos, generados en un sprint previo pero nunca etiquetados a nivel de glosa individual. Cruzando ambos recursos se construyó un dataset de contexto narrativo real —a diferencia de los clips ya aislados del corpus principal—, reservando 5 videos completos, nunca utilizados en ningún entrenamiento, exclusivamente para medir WER.</w:t>
      </w:r>
    </w:p>
    <w:p>
      <w:pPr>
        <w:spacing w:after="120"/>
        <w:ind w:firstLine="709"/>
      </w:pPr>
      <w:r>
        <w:rPr>
          <w:rFonts w:ascii="Times New Roman" w:hAnsi="Times New Roman"/>
          <w:b w:val="0"/>
          <w:i w:val="0"/>
          <w:sz w:val="24"/>
        </w:rPr>
        <w:t>Un primer modelo entrenado de forma aislada sobre este dataset (1 538 muestras, 51 clases) obtuvo peor WER que el sistema de producción (2.827 frente a 1.763), con una caída de generalización severa entre validación cruzada y videos genuinamente no vistos (F1 de 0.174 a 0.061) atribuible al bajo número de señantes de entrenamiento efectivos (15). Combinando estas muestras de contexto narrativo con el corpus grande de clips ya aislados —mismas fuentes que el corpus principal, reutilizando el mecanismo de rebalanceo de grupos por fuente cruzada ya validado en sprints anteriores para evitar fuga de datos— se ensambló un dataset combinado de 270 clases y 20 689 muestras (Tabla 13), sobre el cual dos reentrenamientos sucesivos redujeron el WER a 1.134 y finalmente 1.027 — un 41.8 % por debajo del sistema de producción (Tabla 14, Figura 17).</w:t>
      </w:r>
    </w:p>
    <w:p>
      <w:pPr>
        <w:spacing w:before="200" w:after="40"/>
      </w:pPr>
      <w:r>
        <w:rPr>
          <w:rFonts w:ascii="Times New Roman" w:hAnsi="Times New Roman"/>
          <w:b/>
          <w:sz w:val="24"/>
        </w:rPr>
        <w:t>Tabla 13</w:t>
      </w:r>
    </w:p>
    <w:p>
      <w:pPr>
        <w:spacing w:after="120"/>
      </w:pPr>
      <w:r>
        <w:rPr>
          <w:rFonts w:ascii="Times New Roman" w:hAnsi="Times New Roman"/>
          <w:i/>
          <w:sz w:val="24"/>
        </w:rPr>
        <w:t>Fuentes de datos del dataset combinado utilizado para la línea de mejora de narración continua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D9D9D9"/>
          </w:tcPr>
          <w:p>
            <w:r/>
            <w:r>
              <w:rPr>
                <w:rFonts w:ascii="Times New Roman" w:hAnsi="Times New Roman"/>
                <w:b/>
                <w:sz w:val="21"/>
              </w:rPr>
              <w:t>Fuente</w:t>
            </w:r>
          </w:p>
        </w:tc>
        <w:tc>
          <w:tcPr>
            <w:tcW w:type="dxa" w:w="3685"/>
            <w:shd w:val="clear" w:color="auto" w:fill="D9D9D9"/>
          </w:tcPr>
          <w:p>
            <w:r/>
            <w:r>
              <w:rPr>
                <w:rFonts w:ascii="Times New Roman" w:hAnsi="Times New Roman"/>
                <w:b/>
                <w:sz w:val="21"/>
              </w:rPr>
              <w:t>Origen</w:t>
            </w:r>
          </w:p>
        </w:tc>
        <w:tc>
          <w:tcPr>
            <w:tcW w:type="dxa" w:w="1417"/>
            <w:shd w:val="clear" w:color="auto" w:fill="D9D9D9"/>
          </w:tcPr>
          <w:p>
            <w:r/>
            <w:r>
              <w:rPr>
                <w:rFonts w:ascii="Times New Roman" w:hAnsi="Times New Roman"/>
                <w:b/>
                <w:sz w:val="21"/>
              </w:rPr>
              <w:t>Muestras</w:t>
            </w:r>
          </w:p>
        </w:tc>
        <w:tc>
          <w:tcPr>
            <w:tcW w:type="dxa" w:w="1417"/>
            <w:shd w:val="clear" w:color="auto" w:fill="D9D9D9"/>
          </w:tcPr>
          <w:p>
            <w:r/>
            <w:r>
              <w:rPr>
                <w:rFonts w:ascii="Times New Roman" w:hAnsi="Times New Roman"/>
                <w:b/>
                <w:sz w:val="21"/>
              </w:rPr>
              <w:t>Clases</w:t>
            </w:r>
          </w:p>
        </w:tc>
      </w:tr>
      <w:tr>
        <w:tc>
          <w:tcPr>
            <w:tcW w:type="dxa" w:w="2551"/>
          </w:tcPr>
          <w:p>
            <w:r/>
            <w:r>
              <w:rPr>
                <w:rFonts w:ascii="Times New Roman" w:hAnsi="Times New Roman"/>
                <w:sz w:val="21"/>
              </w:rPr>
              <w:t>dgi156</w:t>
            </w:r>
          </w:p>
        </w:tc>
        <w:tc>
          <w:tcPr>
            <w:tcW w:type="dxa" w:w="3685"/>
          </w:tcPr>
          <w:p>
            <w:r/>
            <w:r>
              <w:rPr>
                <w:rFonts w:ascii="Times New Roman" w:hAnsi="Times New Roman"/>
                <w:sz w:val="21"/>
              </w:rPr>
              <w:t>PUCP-DGI156 — narrativa</w:t>
            </w:r>
          </w:p>
        </w:tc>
        <w:tc>
          <w:tcPr>
            <w:tcW w:type="dxa" w:w="1417"/>
          </w:tcPr>
          <w:p>
            <w:r/>
            <w:r>
              <w:rPr>
                <w:rFonts w:ascii="Times New Roman" w:hAnsi="Times New Roman"/>
                <w:sz w:val="21"/>
              </w:rPr>
              <w:t>3 642</w:t>
            </w:r>
          </w:p>
        </w:tc>
        <w:tc>
          <w:tcPr>
            <w:tcW w:type="dxa" w:w="1417"/>
          </w:tcPr>
          <w:p>
            <w:r/>
            <w:r>
              <w:rPr>
                <w:rFonts w:ascii="Times New Roman" w:hAnsi="Times New Roman"/>
                <w:sz w:val="21"/>
              </w:rPr>
              <w:t>28</w:t>
            </w:r>
          </w:p>
        </w:tc>
      </w:tr>
      <w:tr>
        <w:tc>
          <w:tcPr>
            <w:tcW w:type="dxa" w:w="2551"/>
          </w:tcPr>
          <w:p>
            <w:r/>
            <w:r>
              <w:rPr>
                <w:rFonts w:ascii="Times New Roman" w:hAnsi="Times New Roman"/>
                <w:sz w:val="21"/>
              </w:rPr>
              <w:t>dgi156_gloss</w:t>
            </w:r>
          </w:p>
        </w:tc>
        <w:tc>
          <w:tcPr>
            <w:tcW w:type="dxa" w:w="3685"/>
          </w:tcPr>
          <w:p>
            <w:r/>
            <w:r>
              <w:rPr>
                <w:rFonts w:ascii="Times New Roman" w:hAnsi="Times New Roman"/>
                <w:sz w:val="21"/>
              </w:rPr>
              <w:t>PUCP-DGI156 — glosa individual</w:t>
            </w:r>
          </w:p>
        </w:tc>
        <w:tc>
          <w:tcPr>
            <w:tcW w:type="dxa" w:w="1417"/>
          </w:tcPr>
          <w:p>
            <w:r/>
            <w:r>
              <w:rPr>
                <w:rFonts w:ascii="Times New Roman" w:hAnsi="Times New Roman"/>
                <w:sz w:val="21"/>
              </w:rPr>
              <w:t>2 688</w:t>
            </w:r>
          </w:p>
        </w:tc>
        <w:tc>
          <w:tcPr>
            <w:tcW w:type="dxa" w:w="1417"/>
          </w:tcPr>
          <w:p>
            <w:r/>
            <w:r>
              <w:rPr>
                <w:rFonts w:ascii="Times New Roman" w:hAnsi="Times New Roman"/>
                <w:sz w:val="21"/>
              </w:rPr>
              <w:t>195</w:t>
            </w:r>
          </w:p>
        </w:tc>
      </w:tr>
      <w:tr>
        <w:tc>
          <w:tcPr>
            <w:tcW w:type="dxa" w:w="2551"/>
          </w:tcPr>
          <w:p>
            <w:r/>
            <w:r>
              <w:rPr>
                <w:rFonts w:ascii="Times New Roman" w:hAnsi="Times New Roman"/>
                <w:sz w:val="21"/>
              </w:rPr>
              <w:t>vineta</w:t>
            </w:r>
          </w:p>
        </w:tc>
        <w:tc>
          <w:tcPr>
            <w:tcW w:type="dxa" w:w="3685"/>
          </w:tcPr>
          <w:p>
            <w:r/>
            <w:r>
              <w:rPr>
                <w:rFonts w:ascii="Times New Roman" w:hAnsi="Times New Roman"/>
                <w:sz w:val="21"/>
              </w:rPr>
              <w:t>PUCP-DGI156 — narrativa (2.ª colección)</w:t>
            </w:r>
          </w:p>
        </w:tc>
        <w:tc>
          <w:tcPr>
            <w:tcW w:type="dxa" w:w="1417"/>
          </w:tcPr>
          <w:p>
            <w:r/>
            <w:r>
              <w:rPr>
                <w:rFonts w:ascii="Times New Roman" w:hAnsi="Times New Roman"/>
                <w:sz w:val="21"/>
              </w:rPr>
              <w:t>3 684</w:t>
            </w:r>
          </w:p>
        </w:tc>
        <w:tc>
          <w:tcPr>
            <w:tcW w:type="dxa" w:w="1417"/>
          </w:tcPr>
          <w:p>
            <w:r/>
            <w:r>
              <w:rPr>
                <w:rFonts w:ascii="Times New Roman" w:hAnsi="Times New Roman"/>
                <w:sz w:val="21"/>
              </w:rPr>
              <w:t>27</w:t>
            </w:r>
          </w:p>
        </w:tc>
      </w:tr>
      <w:tr>
        <w:tc>
          <w:tcPr>
            <w:tcW w:type="dxa" w:w="2551"/>
          </w:tcPr>
          <w:p>
            <w:r/>
            <w:r>
              <w:rPr>
                <w:rFonts w:ascii="Times New Roman" w:hAnsi="Times New Roman"/>
                <w:sz w:val="21"/>
              </w:rPr>
              <w:t>vineta_gloss</w:t>
            </w:r>
          </w:p>
        </w:tc>
        <w:tc>
          <w:tcPr>
            <w:tcW w:type="dxa" w:w="3685"/>
          </w:tcPr>
          <w:p>
            <w:r/>
            <w:r>
              <w:rPr>
                <w:rFonts w:ascii="Times New Roman" w:hAnsi="Times New Roman"/>
                <w:sz w:val="21"/>
              </w:rPr>
              <w:t>PUCP-DGI156 — glosa individual</w:t>
            </w:r>
          </w:p>
        </w:tc>
        <w:tc>
          <w:tcPr>
            <w:tcW w:type="dxa" w:w="1417"/>
          </w:tcPr>
          <w:p>
            <w:r/>
            <w:r>
              <w:rPr>
                <w:rFonts w:ascii="Times New Roman" w:hAnsi="Times New Roman"/>
                <w:sz w:val="21"/>
              </w:rPr>
              <w:t>2 734</w:t>
            </w:r>
          </w:p>
        </w:tc>
        <w:tc>
          <w:tcPr>
            <w:tcW w:type="dxa" w:w="1417"/>
          </w:tcPr>
          <w:p>
            <w:r/>
            <w:r>
              <w:rPr>
                <w:rFonts w:ascii="Times New Roman" w:hAnsi="Times New Roman"/>
                <w:sz w:val="21"/>
              </w:rPr>
              <w:t>195</w:t>
            </w:r>
          </w:p>
        </w:tc>
      </w:tr>
      <w:tr>
        <w:tc>
          <w:tcPr>
            <w:tcW w:type="dxa" w:w="2551"/>
          </w:tcPr>
          <w:p>
            <w:r/>
            <w:r>
              <w:rPr>
                <w:rFonts w:ascii="Times New Roman" w:hAnsi="Times New Roman"/>
                <w:sz w:val="21"/>
              </w:rPr>
              <w:t>aec</w:t>
            </w:r>
          </w:p>
        </w:tc>
        <w:tc>
          <w:tcPr>
            <w:tcW w:type="dxa" w:w="3685"/>
          </w:tcPr>
          <w:p>
            <w:r/>
            <w:r>
              <w:rPr>
                <w:rFonts w:ascii="Times New Roman" w:hAnsi="Times New Roman"/>
                <w:sz w:val="21"/>
              </w:rPr>
              <w:t>Aprendo en Casa / PeruSIL</w:t>
            </w:r>
          </w:p>
        </w:tc>
        <w:tc>
          <w:tcPr>
            <w:tcW w:type="dxa" w:w="1417"/>
          </w:tcPr>
          <w:p>
            <w:r/>
            <w:r>
              <w:rPr>
                <w:rFonts w:ascii="Times New Roman" w:hAnsi="Times New Roman"/>
                <w:sz w:val="21"/>
              </w:rPr>
              <w:t>1 454</w:t>
            </w:r>
          </w:p>
        </w:tc>
        <w:tc>
          <w:tcPr>
            <w:tcW w:type="dxa" w:w="1417"/>
          </w:tcPr>
          <w:p>
            <w:r/>
            <w:r>
              <w:rPr>
                <w:rFonts w:ascii="Times New Roman" w:hAnsi="Times New Roman"/>
                <w:sz w:val="21"/>
              </w:rPr>
              <w:t>123</w:t>
            </w:r>
          </w:p>
        </w:tc>
      </w:tr>
      <w:tr>
        <w:tc>
          <w:tcPr>
            <w:tcW w:type="dxa" w:w="2551"/>
          </w:tcPr>
          <w:p>
            <w:r/>
            <w:r>
              <w:rPr>
                <w:rFonts w:ascii="Times New Roman" w:hAnsi="Times New Roman"/>
                <w:sz w:val="21"/>
              </w:rPr>
              <w:t>vocabulario_lsp_p</w:t>
            </w:r>
          </w:p>
        </w:tc>
        <w:tc>
          <w:tcPr>
            <w:tcW w:type="dxa" w:w="3685"/>
          </w:tcPr>
          <w:p>
            <w:r/>
            <w:r>
              <w:rPr>
                <w:rFonts w:ascii="Times New Roman" w:hAnsi="Times New Roman"/>
                <w:sz w:val="21"/>
              </w:rPr>
              <w:t>PUCP-305</w:t>
            </w:r>
          </w:p>
        </w:tc>
        <w:tc>
          <w:tcPr>
            <w:tcW w:type="dxa" w:w="1417"/>
          </w:tcPr>
          <w:p>
            <w:r/>
            <w:r>
              <w:rPr>
                <w:rFonts w:ascii="Times New Roman" w:hAnsi="Times New Roman"/>
                <w:sz w:val="21"/>
              </w:rPr>
              <w:t>252</w:t>
            </w:r>
          </w:p>
        </w:tc>
        <w:tc>
          <w:tcPr>
            <w:tcW w:type="dxa" w:w="1417"/>
          </w:tcPr>
          <w:p>
            <w:r/>
            <w:r>
              <w:rPr>
                <w:rFonts w:ascii="Times New Roman" w:hAnsi="Times New Roman"/>
                <w:sz w:val="21"/>
              </w:rPr>
              <w:t>57</w:t>
            </w:r>
          </w:p>
        </w:tc>
      </w:tr>
      <w:tr>
        <w:tc>
          <w:tcPr>
            <w:tcW w:type="dxa" w:w="2551"/>
          </w:tcPr>
          <w:p>
            <w:r/>
            <w:r>
              <w:rPr>
                <w:rFonts w:ascii="Times New Roman" w:hAnsi="Times New Roman"/>
                <w:sz w:val="21"/>
              </w:rPr>
              <w:t>abecedario</w:t>
            </w:r>
          </w:p>
        </w:tc>
        <w:tc>
          <w:tcPr>
            <w:tcW w:type="dxa" w:w="3685"/>
          </w:tcPr>
          <w:p>
            <w:r/>
            <w:r>
              <w:rPr>
                <w:rFonts w:ascii="Times New Roman" w:hAnsi="Times New Roman"/>
                <w:sz w:val="21"/>
              </w:rPr>
              <w:t>Colección externa (imágenes de mano)</w:t>
            </w:r>
          </w:p>
        </w:tc>
        <w:tc>
          <w:tcPr>
            <w:tcW w:type="dxa" w:w="1417"/>
          </w:tcPr>
          <w:p>
            <w:r/>
            <w:r>
              <w:rPr>
                <w:rFonts w:ascii="Times New Roman" w:hAnsi="Times New Roman"/>
                <w:sz w:val="21"/>
              </w:rPr>
              <w:t>3 600</w:t>
            </w:r>
          </w:p>
        </w:tc>
        <w:tc>
          <w:tcPr>
            <w:tcW w:type="dxa" w:w="1417"/>
          </w:tcPr>
          <w:p>
            <w:r/>
            <w:r>
              <w:rPr>
                <w:rFonts w:ascii="Times New Roman" w:hAnsi="Times New Roman"/>
                <w:sz w:val="21"/>
              </w:rPr>
              <w:t>24</w:t>
            </w:r>
          </w:p>
        </w:tc>
      </w:tr>
      <w:tr>
        <w:tc>
          <w:tcPr>
            <w:tcW w:type="dxa" w:w="2551"/>
          </w:tcPr>
          <w:p>
            <w:r/>
            <w:r>
              <w:rPr>
                <w:rFonts w:ascii="Times New Roman" w:hAnsi="Times New Roman"/>
                <w:sz w:val="21"/>
              </w:rPr>
              <w:t>glosa</w:t>
            </w:r>
          </w:p>
        </w:tc>
        <w:tc>
          <w:tcPr>
            <w:tcW w:type="dxa" w:w="3685"/>
          </w:tcPr>
          <w:p>
            <w:r/>
            <w:r>
              <w:rPr>
                <w:rFonts w:ascii="Times New Roman" w:hAnsi="Times New Roman"/>
                <w:sz w:val="21"/>
              </w:rPr>
              <w:t>Colección interna del proyecto</w:t>
            </w:r>
          </w:p>
        </w:tc>
        <w:tc>
          <w:tcPr>
            <w:tcW w:type="dxa" w:w="1417"/>
          </w:tcPr>
          <w:p>
            <w:r/>
            <w:r>
              <w:rPr>
                <w:rFonts w:ascii="Times New Roman" w:hAnsi="Times New Roman"/>
                <w:sz w:val="21"/>
              </w:rPr>
              <w:t>134</w:t>
            </w:r>
          </w:p>
        </w:tc>
        <w:tc>
          <w:tcPr>
            <w:tcW w:type="dxa" w:w="1417"/>
          </w:tcPr>
          <w:p>
            <w:r/>
            <w:r>
              <w:rPr>
                <w:rFonts w:ascii="Times New Roman" w:hAnsi="Times New Roman"/>
                <w:sz w:val="21"/>
              </w:rPr>
              <w:t>61</w:t>
            </w:r>
          </w:p>
        </w:tc>
      </w:tr>
      <w:tr>
        <w:tc>
          <w:tcPr>
            <w:tcW w:type="dxa" w:w="2551"/>
          </w:tcPr>
          <w:p>
            <w:r/>
            <w:r>
              <w:rPr>
                <w:rFonts w:ascii="Times New Roman" w:hAnsi="Times New Roman"/>
                <w:sz w:val="21"/>
              </w:rPr>
              <w:t>s31_continuo</w:t>
            </w:r>
          </w:p>
        </w:tc>
        <w:tc>
          <w:tcPr>
            <w:tcW w:type="dxa" w:w="3685"/>
          </w:tcPr>
          <w:p>
            <w:r/>
            <w:r>
              <w:rPr>
                <w:rFonts w:ascii="Times New Roman" w:hAnsi="Times New Roman"/>
                <w:sz w:val="21"/>
              </w:rPr>
              <w:t>SRT × keypoints (construido en esta línea)</w:t>
            </w:r>
          </w:p>
        </w:tc>
        <w:tc>
          <w:tcPr>
            <w:tcW w:type="dxa" w:w="1417"/>
          </w:tcPr>
          <w:p>
            <w:r/>
            <w:r>
              <w:rPr>
                <w:rFonts w:ascii="Times New Roman" w:hAnsi="Times New Roman"/>
                <w:sz w:val="21"/>
              </w:rPr>
              <w:t>2 501</w:t>
            </w:r>
          </w:p>
        </w:tc>
        <w:tc>
          <w:tcPr>
            <w:tcW w:type="dxa" w:w="1417"/>
          </w:tcPr>
          <w:p>
            <w:r/>
            <w:r>
              <w:rPr>
                <w:rFonts w:ascii="Times New Roman" w:hAnsi="Times New Roman"/>
                <w:sz w:val="21"/>
              </w:rPr>
              <w:t>195</w:t>
            </w:r>
          </w:p>
        </w:tc>
      </w:tr>
      <w:tr>
        <w:tc>
          <w:tcPr>
            <w:tcW w:type="dxa" w:w="2551"/>
          </w:tcPr>
          <w:p>
            <w:r/>
            <w:r>
              <w:rPr>
                <w:rFonts w:ascii="Times New Roman" w:hAnsi="Times New Roman"/>
                <w:sz w:val="21"/>
              </w:rPr>
              <w:t>Total (mín. 15 muestras/clase)</w:t>
            </w:r>
          </w:p>
        </w:tc>
        <w:tc>
          <w:tcPr>
            <w:tcW w:type="dxa" w:w="3685"/>
          </w:tcPr>
          <w:p>
            <w:r/>
            <w:r>
              <w:rPr>
                <w:rFonts w:ascii="Times New Roman" w:hAnsi="Times New Roman"/>
                <w:sz w:val="21"/>
              </w:rPr>
              <w:t>—</w:t>
            </w:r>
          </w:p>
        </w:tc>
        <w:tc>
          <w:tcPr>
            <w:tcW w:type="dxa" w:w="1417"/>
          </w:tcPr>
          <w:p>
            <w:r/>
            <w:r>
              <w:rPr>
                <w:rFonts w:ascii="Times New Roman" w:hAnsi="Times New Roman"/>
                <w:sz w:val="21"/>
              </w:rPr>
              <w:t>20 689</w:t>
            </w:r>
          </w:p>
        </w:tc>
        <w:tc>
          <w:tcPr>
            <w:tcW w:type="dxa" w:w="1417"/>
          </w:tcPr>
          <w:p>
            <w:r/>
            <w:r>
              <w:rPr>
                <w:rFonts w:ascii="Times New Roman" w:hAnsi="Times New Roman"/>
                <w:sz w:val="21"/>
              </w:rPr>
              <w:t>270</w:t>
            </w:r>
          </w:p>
        </w:tc>
      </w:tr>
    </w:tbl>
    <w:p>
      <w:pPr>
        <w:spacing w:before="80" w:after="280"/>
      </w:pPr>
      <w:r>
        <w:rPr>
          <w:rFonts w:ascii="Times New Roman" w:hAnsi="Times New Roman"/>
          <w:i/>
          <w:sz w:val="21"/>
        </w:rPr>
        <w:t xml:space="preserve">Nota. </w:t>
      </w:r>
      <w:r>
        <w:rPr>
          <w:rFonts w:ascii="Times New Roman" w:hAnsi="Times New Roman"/>
          <w:sz w:val="21"/>
        </w:rPr>
        <w:t>Excluida explícitamente: LSA64 (Lengua de Señas Argentina, no peruana). El modelo de producción (Tabla 2) usa un subconjunto filtrado a 96 clases; el dataset de 270 clases es exclusivo de esta línea de mejora.</w:t>
      </w:r>
    </w:p>
    <w:p>
      <w:pPr>
        <w:spacing w:before="240" w:after="40"/>
        <w:jc w:val="center"/>
      </w:pPr>
      <w:r>
        <w:rPr>
          <w:rFonts w:ascii="Times New Roman" w:hAnsi="Times New Roman"/>
          <w:b/>
          <w:sz w:val="24"/>
        </w:rPr>
        <w:t>Figura 16</w:t>
      </w:r>
    </w:p>
    <w:p>
      <w:pPr>
        <w:spacing w:after="160"/>
        <w:jc w:val="center"/>
      </w:pPr>
      <w:r>
        <w:rPr>
          <w:rFonts w:ascii="Times New Roman" w:hAnsi="Times New Roman"/>
          <w:i/>
          <w:sz w:val="24"/>
        </w:rPr>
        <w:t>Muestras por fuente del dataset combinado</w:t>
      </w:r>
    </w:p>
    <w:p>
      <w:pPr>
        <w:jc w:val="center"/>
      </w:pPr>
      <w:r>
        <w:drawing>
          <wp:inline xmlns:a="http://schemas.openxmlformats.org/drawingml/2006/main" xmlns:pic="http://schemas.openxmlformats.org/drawingml/2006/picture">
            <wp:extent cx="5486400" cy="3150870"/>
            <wp:docPr id="16" name="Picture 16"/>
            <wp:cNvGraphicFramePr>
              <a:graphicFrameLocks noChangeAspect="1"/>
            </wp:cNvGraphicFramePr>
            <a:graphic>
              <a:graphicData uri="http://schemas.openxmlformats.org/drawingml/2006/picture">
                <pic:pic>
                  <pic:nvPicPr>
                    <pic:cNvPr id="0" name="fig_tabla10_fuentes.png"/>
                    <pic:cNvPicPr/>
                  </pic:nvPicPr>
                  <pic:blipFill>
                    <a:blip r:embed="rId24"/>
                    <a:stretch>
                      <a:fillRect/>
                    </a:stretch>
                  </pic:blipFill>
                  <pic:spPr>
                    <a:xfrm>
                      <a:off x="0" y="0"/>
                      <a:ext cx="5486400" cy="315087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vineta y dgi156 (narrativas) aportan el mayor volumen; s31_continuo es la única fuente construida específicamente para esta línea de mejora.</w:t>
      </w:r>
    </w:p>
    <w:p>
      <w:pPr>
        <w:spacing w:before="200" w:after="40"/>
      </w:pPr>
      <w:r>
        <w:rPr>
          <w:rFonts w:ascii="Times New Roman" w:hAnsi="Times New Roman"/>
          <w:b/>
          <w:sz w:val="24"/>
        </w:rPr>
        <w:t>Tabla 14</w:t>
      </w:r>
    </w:p>
    <w:p>
      <w:pPr>
        <w:spacing w:after="120"/>
      </w:pPr>
      <w:r>
        <w:rPr>
          <w:rFonts w:ascii="Times New Roman" w:hAnsi="Times New Roman"/>
          <w:i/>
          <w:sz w:val="24"/>
        </w:rPr>
        <w:t>WER real sobre 5 videos narrativos nunca vistos en entrenamiento — 3 corridas consecutivas vs. producción</w:t>
      </w:r>
    </w:p>
    <w:tbl>
      <w:tblPr>
        <w:tblStyle w:val="TableGrid"/>
        <w:tblW w:type="auto" w:w="0"/>
        <w:jc w:val="center"/>
        <w:tblLook w:firstColumn="1" w:firstRow="1" w:lastColumn="0" w:lastRow="0" w:noHBand="0" w:noVBand="1" w:val="04A0"/>
      </w:tblPr>
      <w:tblGrid>
        <w:gridCol w:w="3041"/>
        <w:gridCol w:w="3041"/>
        <w:gridCol w:w="3041"/>
      </w:tblGrid>
      <w:tr>
        <w:tc>
          <w:tcPr>
            <w:tcW w:type="dxa" w:w="5102"/>
            <w:shd w:val="clear" w:color="auto" w:fill="D9D9D9"/>
          </w:tcPr>
          <w:p>
            <w:r/>
            <w:r>
              <w:rPr>
                <w:rFonts w:ascii="Times New Roman" w:hAnsi="Times New Roman"/>
                <w:b/>
                <w:sz w:val="21"/>
              </w:rPr>
              <w:t>Modelo</w:t>
            </w:r>
          </w:p>
        </w:tc>
        <w:tc>
          <w:tcPr>
            <w:tcW w:type="dxa" w:w="2268"/>
            <w:shd w:val="clear" w:color="auto" w:fill="D9D9D9"/>
          </w:tcPr>
          <w:p>
            <w:r/>
            <w:r>
              <w:rPr>
                <w:rFonts w:ascii="Times New Roman" w:hAnsi="Times New Roman"/>
                <w:b/>
                <w:sz w:val="21"/>
              </w:rPr>
              <w:t>WER medio</w:t>
            </w:r>
          </w:p>
        </w:tc>
        <w:tc>
          <w:tcPr>
            <w:tcW w:type="dxa" w:w="1701"/>
            <w:shd w:val="clear" w:color="auto" w:fill="D9D9D9"/>
          </w:tcPr>
          <w:p>
            <w:r/>
            <w:r>
              <w:rPr>
                <w:rFonts w:ascii="Times New Roman" w:hAnsi="Times New Roman"/>
                <w:b/>
                <w:sz w:val="21"/>
              </w:rPr>
              <w:t>N videos</w:t>
            </w:r>
          </w:p>
        </w:tc>
      </w:tr>
      <w:tr>
        <w:tc>
          <w:tcPr>
            <w:tcW w:type="dxa" w:w="5102"/>
          </w:tcPr>
          <w:p>
            <w:r/>
            <w:r>
              <w:rPr>
                <w:rFonts w:ascii="Times New Roman" w:hAnsi="Times New Roman"/>
                <w:sz w:val="21"/>
              </w:rPr>
              <w:t>S31 (aislado, 51 clases)</w:t>
            </w:r>
          </w:p>
        </w:tc>
        <w:tc>
          <w:tcPr>
            <w:tcW w:type="dxa" w:w="2268"/>
          </w:tcPr>
          <w:p>
            <w:r/>
            <w:r>
              <w:rPr>
                <w:rFonts w:ascii="Times New Roman" w:hAnsi="Times New Roman"/>
                <w:sz w:val="21"/>
              </w:rPr>
              <w:t>2.827</w:t>
            </w:r>
          </w:p>
        </w:tc>
        <w:tc>
          <w:tcPr>
            <w:tcW w:type="dxa" w:w="1701"/>
          </w:tcPr>
          <w:p>
            <w:r/>
            <w:r>
              <w:rPr>
                <w:rFonts w:ascii="Times New Roman" w:hAnsi="Times New Roman"/>
                <w:sz w:val="21"/>
              </w:rPr>
              <w:t>5</w:t>
            </w:r>
          </w:p>
        </w:tc>
      </w:tr>
      <w:tr>
        <w:tc>
          <w:tcPr>
            <w:tcW w:type="dxa" w:w="5102"/>
          </w:tcPr>
          <w:p>
            <w:r/>
            <w:r>
              <w:rPr>
                <w:rFonts w:ascii="Times New Roman" w:hAnsi="Times New Roman"/>
                <w:sz w:val="21"/>
              </w:rPr>
              <w:t>S32 (combinado, split único)</w:t>
            </w:r>
          </w:p>
        </w:tc>
        <w:tc>
          <w:tcPr>
            <w:tcW w:type="dxa" w:w="2268"/>
          </w:tcPr>
          <w:p>
            <w:r/>
            <w:r>
              <w:rPr>
                <w:rFonts w:ascii="Times New Roman" w:hAnsi="Times New Roman"/>
                <w:sz w:val="21"/>
              </w:rPr>
              <w:t>1.134</w:t>
            </w:r>
          </w:p>
        </w:tc>
        <w:tc>
          <w:tcPr>
            <w:tcW w:type="dxa" w:w="1701"/>
          </w:tcPr>
          <w:p>
            <w:r/>
            <w:r>
              <w:rPr>
                <w:rFonts w:ascii="Times New Roman" w:hAnsi="Times New Roman"/>
                <w:sz w:val="21"/>
              </w:rPr>
              <w:t>5</w:t>
            </w:r>
          </w:p>
        </w:tc>
      </w:tr>
      <w:tr>
        <w:tc>
          <w:tcPr>
            <w:tcW w:type="dxa" w:w="5102"/>
          </w:tcPr>
          <w:p>
            <w:r/>
            <w:r>
              <w:rPr>
                <w:rFonts w:ascii="Times New Roman" w:hAnsi="Times New Roman"/>
                <w:sz w:val="21"/>
              </w:rPr>
              <w:t>S33 (combinado, KFold(5) completo)</w:t>
            </w:r>
          </w:p>
        </w:tc>
        <w:tc>
          <w:tcPr>
            <w:tcW w:type="dxa" w:w="2268"/>
          </w:tcPr>
          <w:p>
            <w:r/>
            <w:r>
              <w:rPr>
                <w:rFonts w:ascii="Times New Roman" w:hAnsi="Times New Roman"/>
                <w:sz w:val="21"/>
              </w:rPr>
              <w:t>1.027</w:t>
            </w:r>
          </w:p>
        </w:tc>
        <w:tc>
          <w:tcPr>
            <w:tcW w:type="dxa" w:w="1701"/>
          </w:tcPr>
          <w:p>
            <w:r/>
            <w:r>
              <w:rPr>
                <w:rFonts w:ascii="Times New Roman" w:hAnsi="Times New Roman"/>
                <w:sz w:val="21"/>
              </w:rPr>
              <w:t>5</w:t>
            </w:r>
          </w:p>
        </w:tc>
      </w:tr>
      <w:tr>
        <w:tc>
          <w:tcPr>
            <w:tcW w:type="dxa" w:w="5102"/>
          </w:tcPr>
          <w:p>
            <w:r/>
            <w:r>
              <w:rPr>
                <w:rFonts w:ascii="Times New Roman" w:hAnsi="Times New Roman"/>
                <w:sz w:val="21"/>
              </w:rPr>
              <w:t>Producción (ensemble v4+S29, 96 clases)</w:t>
            </w:r>
          </w:p>
        </w:tc>
        <w:tc>
          <w:tcPr>
            <w:tcW w:type="dxa" w:w="2268"/>
          </w:tcPr>
          <w:p>
            <w:r/>
            <w:r>
              <w:rPr>
                <w:rFonts w:ascii="Times New Roman" w:hAnsi="Times New Roman"/>
                <w:sz w:val="21"/>
              </w:rPr>
              <w:t>1.763</w:t>
            </w:r>
          </w:p>
        </w:tc>
        <w:tc>
          <w:tcPr>
            <w:tcW w:type="dxa" w:w="1701"/>
          </w:tcPr>
          <w:p>
            <w:r/>
            <w:r>
              <w:rPr>
                <w:rFonts w:ascii="Times New Roman" w:hAnsi="Times New Roman"/>
                <w:sz w:val="21"/>
              </w:rPr>
              <w:t>5</w:t>
            </w:r>
          </w:p>
        </w:tc>
      </w:tr>
    </w:tbl>
    <w:p>
      <w:pPr>
        <w:spacing w:before="80" w:after="280"/>
      </w:pPr>
      <w:r>
        <w:rPr>
          <w:rFonts w:ascii="Times New Roman" w:hAnsi="Times New Roman"/>
          <w:i/>
          <w:sz w:val="21"/>
        </w:rPr>
        <w:t xml:space="preserve">Nota. </w:t>
      </w:r>
      <w:r>
        <w:rPr>
          <w:rFonts w:ascii="Times New Roman" w:hAnsi="Times New Roman"/>
          <w:sz w:val="21"/>
        </w:rPr>
        <w:t>WER = distancia de Levenshtein entre secuencia de glosas predicha y real, normalizada por longitud de referencia. WER = 1.0 equivale a tantos errores como palabras reales. Valores por video en data/s33_wer_resultados.json.</w:t>
      </w:r>
    </w:p>
    <w:p>
      <w:pPr>
        <w:spacing w:before="240" w:after="40"/>
        <w:jc w:val="center"/>
      </w:pPr>
      <w:r>
        <w:rPr>
          <w:rFonts w:ascii="Times New Roman" w:hAnsi="Times New Roman"/>
          <w:b/>
          <w:sz w:val="24"/>
        </w:rPr>
        <w:t>Figura 17</w:t>
      </w:r>
    </w:p>
    <w:p>
      <w:pPr>
        <w:spacing w:after="160"/>
        <w:jc w:val="center"/>
      </w:pPr>
      <w:r>
        <w:rPr>
          <w:rFonts w:ascii="Times New Roman" w:hAnsi="Times New Roman"/>
          <w:i/>
          <w:sz w:val="24"/>
        </w:rPr>
        <w:t>WER real — 3 corridas consecutivas de la línea de narración continua vs. producción</w:t>
      </w:r>
    </w:p>
    <w:p>
      <w:pPr>
        <w:jc w:val="center"/>
      </w:pPr>
      <w:r>
        <w:drawing>
          <wp:inline xmlns:a="http://schemas.openxmlformats.org/drawingml/2006/main" xmlns:pic="http://schemas.openxmlformats.org/drawingml/2006/picture">
            <wp:extent cx="5486400" cy="3505200"/>
            <wp:docPr id="17" name="Picture 17"/>
            <wp:cNvGraphicFramePr>
              <a:graphicFrameLocks noChangeAspect="1"/>
            </wp:cNvGraphicFramePr>
            <a:graphic>
              <a:graphicData uri="http://schemas.openxmlformats.org/drawingml/2006/picture">
                <pic:pic>
                  <pic:nvPicPr>
                    <pic:cNvPr id="0" name="fig_wer_progresion.png"/>
                    <pic:cNvPicPr/>
                  </pic:nvPicPr>
                  <pic:blipFill>
                    <a:blip r:embed="rId25"/>
                    <a:stretch>
                      <a:fillRect/>
                    </a:stretch>
                  </pic:blipFill>
                  <pic:spPr>
                    <a:xfrm>
                      <a:off x="0" y="0"/>
                      <a:ext cx="5486400" cy="350520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Mejora monótona en las 3 corridas (S31→S32→S33), sin retrocesos. WER=1.027 sigue por encima de 1.0 — la narración continua no queda resuelta, pero es la primera vez que un intento dedicado supera al sistema de producción en esta tarea.</w:t>
      </w:r>
    </w:p>
    <w:p>
      <w:pPr>
        <w:spacing w:after="120"/>
        <w:ind w:firstLine="709"/>
      </w:pPr>
      <w:r>
        <w:rPr>
          <w:rFonts w:ascii="Times New Roman" w:hAnsi="Times New Roman"/>
          <w:b w:val="0"/>
          <w:i w:val="0"/>
          <w:sz w:val="24"/>
        </w:rPr>
        <w:t>Resultado parcial: WER = 1.027 confirma que la traducción de narración continua sigue sin resolverse en sentido estricto (más errores que palabras de referencia en promedio), pero la mejora sostenida de tres corridas consecutivas (−63.7 % de WER acumulado) valida el enfoque de combinar contexto narrativo real con el corpus de clips aislados como vía de trabajo futuro, en vez de una limitación arquitectónica sin salida. El modelo de esta línea no reemplaza al ensemble de producción: su F1 sobre clasificación aislada (0.209, 270 clases) es inferior al del sistema activo (0.4424, 96 clases) — es una mejora específica y medida para narración, no una actualización general del sistema.</w:t>
      </w:r>
    </w:p>
    <w:p>
      <w:pPr>
        <w:spacing w:after="120"/>
        <w:ind w:firstLine="709"/>
      </w:pPr>
      <w:r>
        <w:rPr>
          <w:rFonts w:ascii="Times New Roman" w:hAnsi="Times New Roman"/>
          <w:b w:val="0"/>
          <w:i w:val="0"/>
          <w:sz w:val="24"/>
        </w:rPr>
        <w:t>Extensión de la línea (2026-07-25/26): se identificó un recurso adicional sin usar en el repositorio — 274 archivos ELAN (.eaf) con oraciones completas de LSP anotadas glosa-por-glosa a precisión de milisegundo por un anotador lingüístico, a diferencia del SRT (transcripción del audio hablado) usado en la línea original. Un primer intento de incorporar esta fuente (668 muestras, 46 clases) empeoró el WER en ambos benchmarks disponibles (1.086 y 1.188 frente a 1.027 y 1.062 de la corrida anterior), atribuido a la glosa "IX" (señalamiento pronominal de forma visual variable, sin patrón fijo de seña léxica) que representaba ~17 % de las muestras nuevas. Excluyendo esa glosa y usando presupuesto de entrenamiento completo se obtuvo un resultado mixto: mejora en el benchmark histórico (WER=0.981, primera vez por debajo de 1.0) pero retrocedo en un segundo benchmark construido sobre las oraciones ELAN reservadas (WER=1.125). Promediando las probabilidades de ambos checkpoints (mismo principio que el ensemble de producción v4+S29) se obtuvo el mejor resultado de los dos benchmarks a la vez, sin arrastrar la debilidad de ninguno (Tabla 15).</w:t>
      </w:r>
    </w:p>
    <w:p>
      <w:pPr>
        <w:spacing w:before="200" w:after="40"/>
      </w:pPr>
      <w:r>
        <w:rPr>
          <w:rFonts w:ascii="Times New Roman" w:hAnsi="Times New Roman"/>
          <w:b/>
          <w:sz w:val="24"/>
        </w:rPr>
        <w:t>Tabla 15</w:t>
      </w:r>
    </w:p>
    <w:p>
      <w:pPr>
        <w:spacing w:after="120"/>
      </w:pPr>
      <w:r>
        <w:rPr>
          <w:rFonts w:ascii="Times New Roman" w:hAnsi="Times New Roman"/>
          <w:i/>
          <w:sz w:val="24"/>
        </w:rPr>
        <w:t>WER real — extensión de la línea de narración continua (ensemble final)</w:t>
      </w:r>
    </w:p>
    <w:tbl>
      <w:tblPr>
        <w:tblStyle w:val="TableGrid"/>
        <w:tblW w:type="auto" w:w="0"/>
        <w:jc w:val="center"/>
        <w:tblLook w:firstColumn="1" w:firstRow="1" w:lastColumn="0" w:lastRow="0" w:noHBand="0" w:noVBand="1" w:val="04A0"/>
      </w:tblPr>
      <w:tblGrid>
        <w:gridCol w:w="3041"/>
        <w:gridCol w:w="3041"/>
        <w:gridCol w:w="3041"/>
      </w:tblGrid>
      <w:tr>
        <w:tc>
          <w:tcPr>
            <w:tcW w:type="dxa" w:w="3969"/>
            <w:shd w:val="clear" w:color="auto" w:fill="D9D9D9"/>
          </w:tcPr>
          <w:p>
            <w:r/>
            <w:r>
              <w:rPr>
                <w:rFonts w:ascii="Times New Roman" w:hAnsi="Times New Roman"/>
                <w:b/>
                <w:sz w:val="21"/>
              </w:rPr>
              <w:t>Modelo</w:t>
            </w:r>
          </w:p>
        </w:tc>
        <w:tc>
          <w:tcPr>
            <w:tcW w:type="dxa" w:w="2551"/>
            <w:shd w:val="clear" w:color="auto" w:fill="D9D9D9"/>
          </w:tcPr>
          <w:p>
            <w:r/>
            <w:r>
              <w:rPr>
                <w:rFonts w:ascii="Times New Roman" w:hAnsi="Times New Roman"/>
                <w:b/>
                <w:sz w:val="21"/>
              </w:rPr>
              <w:t>WER benchmark oficial (5 videos)</w:t>
            </w:r>
          </w:p>
        </w:tc>
        <w:tc>
          <w:tcPr>
            <w:tcW w:type="dxa" w:w="2551"/>
            <w:shd w:val="clear" w:color="auto" w:fill="D9D9D9"/>
          </w:tcPr>
          <w:p>
            <w:r/>
            <w:r>
              <w:rPr>
                <w:rFonts w:ascii="Times New Roman" w:hAnsi="Times New Roman"/>
                <w:b/>
                <w:sz w:val="21"/>
              </w:rPr>
              <w:t>WER oraciones ELAN (10 nuevas)</w:t>
            </w:r>
          </w:p>
        </w:tc>
      </w:tr>
      <w:tr>
        <w:tc>
          <w:tcPr>
            <w:tcW w:type="dxa" w:w="3969"/>
          </w:tcPr>
          <w:p>
            <w:r/>
            <w:r>
              <w:rPr>
                <w:rFonts w:ascii="Times New Roman" w:hAnsi="Times New Roman"/>
                <w:sz w:val="21"/>
              </w:rPr>
              <w:t>S33 (línea original)</w:t>
            </w:r>
          </w:p>
        </w:tc>
        <w:tc>
          <w:tcPr>
            <w:tcW w:type="dxa" w:w="2551"/>
          </w:tcPr>
          <w:p>
            <w:r/>
            <w:r>
              <w:rPr>
                <w:rFonts w:ascii="Times New Roman" w:hAnsi="Times New Roman"/>
                <w:sz w:val="21"/>
              </w:rPr>
              <w:t>1.027</w:t>
            </w:r>
          </w:p>
        </w:tc>
        <w:tc>
          <w:tcPr>
            <w:tcW w:type="dxa" w:w="2551"/>
          </w:tcPr>
          <w:p>
            <w:r/>
            <w:r>
              <w:rPr>
                <w:rFonts w:ascii="Times New Roman" w:hAnsi="Times New Roman"/>
                <w:sz w:val="21"/>
              </w:rPr>
              <w:t>1.062</w:t>
            </w:r>
          </w:p>
        </w:tc>
      </w:tr>
      <w:tr>
        <w:tc>
          <w:tcPr>
            <w:tcW w:type="dxa" w:w="3969"/>
          </w:tcPr>
          <w:p>
            <w:r/>
            <w:r>
              <w:rPr>
                <w:rFonts w:ascii="Times New Roman" w:hAnsi="Times New Roman"/>
                <w:sz w:val="21"/>
              </w:rPr>
              <w:t>S36 (+ fuente ELAN, sin IX, KFold completo)</w:t>
            </w:r>
          </w:p>
        </w:tc>
        <w:tc>
          <w:tcPr>
            <w:tcW w:type="dxa" w:w="2551"/>
          </w:tcPr>
          <w:p>
            <w:r/>
            <w:r>
              <w:rPr>
                <w:rFonts w:ascii="Times New Roman" w:hAnsi="Times New Roman"/>
                <w:sz w:val="21"/>
              </w:rPr>
              <w:t>0.981</w:t>
            </w:r>
          </w:p>
        </w:tc>
        <w:tc>
          <w:tcPr>
            <w:tcW w:type="dxa" w:w="2551"/>
          </w:tcPr>
          <w:p>
            <w:r/>
            <w:r>
              <w:rPr>
                <w:rFonts w:ascii="Times New Roman" w:hAnsi="Times New Roman"/>
                <w:sz w:val="21"/>
              </w:rPr>
              <w:t>1.125</w:t>
            </w:r>
          </w:p>
        </w:tc>
      </w:tr>
      <w:tr>
        <w:tc>
          <w:tcPr>
            <w:tcW w:type="dxa" w:w="3969"/>
          </w:tcPr>
          <w:p>
            <w:r/>
            <w:r>
              <w:rPr>
                <w:rFonts w:ascii="Times New Roman" w:hAnsi="Times New Roman"/>
                <w:sz w:val="21"/>
              </w:rPr>
              <w:t>Ensemble S33 + S36</w:t>
            </w:r>
          </w:p>
        </w:tc>
        <w:tc>
          <w:tcPr>
            <w:tcW w:type="dxa" w:w="2551"/>
          </w:tcPr>
          <w:p>
            <w:r/>
            <w:r>
              <w:rPr>
                <w:rFonts w:ascii="Times New Roman" w:hAnsi="Times New Roman"/>
                <w:sz w:val="21"/>
              </w:rPr>
              <w:t>0.970</w:t>
            </w:r>
          </w:p>
        </w:tc>
        <w:tc>
          <w:tcPr>
            <w:tcW w:type="dxa" w:w="2551"/>
          </w:tcPr>
          <w:p>
            <w:r/>
            <w:r>
              <w:rPr>
                <w:rFonts w:ascii="Times New Roman" w:hAnsi="Times New Roman"/>
                <w:sz w:val="21"/>
              </w:rPr>
              <w:t>1.062</w:t>
            </w:r>
          </w:p>
        </w:tc>
      </w:tr>
      <w:tr>
        <w:tc>
          <w:tcPr>
            <w:tcW w:type="dxa" w:w="3969"/>
          </w:tcPr>
          <w:p>
            <w:r/>
            <w:r>
              <w:rPr>
                <w:rFonts w:ascii="Times New Roman" w:hAnsi="Times New Roman"/>
                <w:sz w:val="21"/>
              </w:rPr>
              <w:t>Producción (ensemble v4+S29, 96 clases)</w:t>
            </w:r>
          </w:p>
        </w:tc>
        <w:tc>
          <w:tcPr>
            <w:tcW w:type="dxa" w:w="2551"/>
          </w:tcPr>
          <w:p>
            <w:r/>
            <w:r>
              <w:rPr>
                <w:rFonts w:ascii="Times New Roman" w:hAnsi="Times New Roman"/>
                <w:sz w:val="21"/>
              </w:rPr>
              <w:t>1.763</w:t>
            </w:r>
          </w:p>
        </w:tc>
        <w:tc>
          <w:tcPr>
            <w:tcW w:type="dxa" w:w="2551"/>
          </w:tcPr>
          <w:p>
            <w:r/>
            <w:r>
              <w:rPr>
                <w:rFonts w:ascii="Times New Roman" w:hAnsi="Times New Roman"/>
                <w:sz w:val="21"/>
              </w:rPr>
              <w:t>1.417</w:t>
            </w:r>
          </w:p>
        </w:tc>
      </w:tr>
    </w:tbl>
    <w:p>
      <w:pPr>
        <w:spacing w:before="80" w:after="280"/>
      </w:pPr>
      <w:r>
        <w:rPr>
          <w:rFonts w:ascii="Times New Roman" w:hAnsi="Times New Roman"/>
          <w:i/>
          <w:sz w:val="21"/>
        </w:rPr>
        <w:t xml:space="preserve">Nota. </w:t>
      </w:r>
      <w:r>
        <w:rPr>
          <w:rFonts w:ascii="Times New Roman" w:hAnsi="Times New Roman"/>
          <w:sz w:val="21"/>
        </w:rPr>
        <w:t>Benchmark oficial = mismos 5 videos reservados desde S31 (Tabla 14). Oraciones ELAN = 10 oraciones completas de data/Glosas/*_ORACION_*.eaf reservadas por build_dataset_s34_eaf.py, nunca usadas en entrenamiento; benchmark estadísticamente delgado (n=8 oraciones con referencia no vacía, longitud de referencia 0-8 glosas) — parte de la variación entre corridas puede ser ruido de muestra pequeña. Valores en data/s37_ensemble_bench_wer_resultados.json y data/s37_ensemble_wer_resultados.json.</w:t>
      </w:r>
    </w:p>
    <w:p>
      <w:pPr>
        <w:spacing w:before="240" w:after="40"/>
        <w:jc w:val="center"/>
      </w:pPr>
      <w:r>
        <w:rPr>
          <w:rFonts w:ascii="Times New Roman" w:hAnsi="Times New Roman"/>
          <w:b/>
          <w:sz w:val="24"/>
        </w:rPr>
        <w:t>Figura 18</w:t>
      </w:r>
    </w:p>
    <w:p>
      <w:pPr>
        <w:spacing w:after="160"/>
        <w:jc w:val="center"/>
      </w:pPr>
      <w:r>
        <w:rPr>
          <w:rFonts w:ascii="Times New Roman" w:hAnsi="Times New Roman"/>
          <w:i/>
          <w:sz w:val="24"/>
        </w:rPr>
        <w:t>WER — línea de narración continua, ambos benchmarks</w:t>
      </w:r>
    </w:p>
    <w:p>
      <w:pPr>
        <w:jc w:val="center"/>
      </w:pPr>
      <w:r>
        <w:drawing>
          <wp:inline xmlns:a="http://schemas.openxmlformats.org/drawingml/2006/main" xmlns:pic="http://schemas.openxmlformats.org/drawingml/2006/picture">
            <wp:extent cx="5486400" cy="3231662"/>
            <wp:docPr id="18" name="Picture 18"/>
            <wp:cNvGraphicFramePr>
              <a:graphicFrameLocks noChangeAspect="1"/>
            </wp:cNvGraphicFramePr>
            <a:graphic>
              <a:graphicData uri="http://schemas.openxmlformats.org/drawingml/2006/picture">
                <pic:pic>
                  <pic:nvPicPr>
                    <pic:cNvPr id="0" name="fig_tabla12_wer_final.png"/>
                    <pic:cNvPicPr/>
                  </pic:nvPicPr>
                  <pic:blipFill>
                    <a:blip r:embed="rId26"/>
                    <a:stretch>
                      <a:fillRect/>
                    </a:stretch>
                  </pic:blipFill>
                  <pic:spPr>
                    <a:xfrm>
                      <a:off x="0" y="0"/>
                      <a:ext cx="5486400" cy="3231662"/>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El ensemble S33+S36 es el único que baja de WER=1.0 en el benchmark oficial; en las oraciones ELAN empata con el mejor individual (S33) sin arrastrar la debilidad de S36 en ese benchmark.</w:t>
      </w:r>
    </w:p>
    <w:p>
      <w:pPr>
        <w:spacing w:after="120"/>
        <w:ind w:firstLine="709"/>
      </w:pPr>
      <w:r>
        <w:rPr>
          <w:rFonts w:ascii="Times New Roman" w:hAnsi="Times New Roman"/>
          <w:b w:val="0"/>
          <w:i w:val="0"/>
          <w:sz w:val="24"/>
        </w:rPr>
        <w:t>Evaluación honesta del techo de este enfoque: la curva de mejora muestra rendimientos decrecientes (S31→S32: −59.9 %; S32→S33: −9.4 %; S33→Ensemble: −5.5 %). Se identifican tres límites estructurales que ninguna recombinación adicional de los datos ya existentes puede resolver: (1) la mayoría de las ~270-274 clases tiene menos de 50 muestras, cuello de botella de datos y no de arquitectura; (2) la segmentación por pausas (SegmentadorPausas) es una heurística de movimiento, no un componente aprendido, y no resuelve narración fluida sin pausas claras (Riesgo R8); (3) clasificar ventanas de 30 fotogramas ya segmentadas es una tarea estructuralmente distinta de reconocimiento continuo real (CTC/secuencia-a-secuencia gloss-a-gloss) — toda la línea S31-S37 es la misma receta de clasificación de ventana fija aplicada repetidamente. El ensemble S33+S36 (WER=0.970/1.062) queda documentado como el resultado final de esta línea; bajar el WER de forma sustancial requeriría una campaña de grabación con señantes nuevos o una arquitectura de reconocimiento continuo real, no otro ciclo de reentrenamiento sobre los mismos datos.</w:t>
      </w:r>
    </w:p>
    <w:p>
      <w:pPr>
        <w:pStyle w:val="Heading2"/>
      </w:pPr>
      <w:r>
        <w:t>4.6 Discusión General</w:t>
      </w:r>
    </w:p>
    <w:p>
      <w:pPr>
        <w:pStyle w:val="Heading3"/>
      </w:pPr>
      <w:r>
        <w:t>Síntesis OE1: Precisión de Clasificación</w:t>
      </w:r>
    </w:p>
    <w:p>
      <w:pPr>
        <w:spacing w:after="120"/>
        <w:ind w:firstLine="709"/>
      </w:pPr>
      <w:r>
        <w:rPr>
          <w:rFonts w:ascii="Times New Roman" w:hAnsi="Times New Roman"/>
          <w:b w:val="0"/>
          <w:i w:val="0"/>
          <w:sz w:val="24"/>
        </w:rPr>
        <w:t>Objetivo: F1-score ≥ 0.70. Mejor resultado real logrado: F1=0.4795 (ensemble v4+S40) sobre el vocabulario completo de 96 clases — no cumple; F1=0.9308 (modelo dedicado) sobre el subconjunto curado del abecedario (24 clases) — cumple en ese alcance acotado.</w:t>
      </w:r>
    </w:p>
    <w:p>
      <w:pPr>
        <w:ind w:firstLine="709"/>
      </w:pPr>
      <w:r>
        <w:drawing>
          <wp:inline xmlns:a="http://schemas.openxmlformats.org/drawingml/2006/main" xmlns:pic="http://schemas.openxmlformats.org/drawingml/2006/picture">
            <wp:extent cx="5120640" cy="2858032"/>
            <wp:docPr id="19" name="Picture 19"/>
            <wp:cNvGraphicFramePr>
              <a:graphicFrameLocks noChangeAspect="1"/>
            </wp:cNvGraphicFramePr>
            <a:graphic>
              <a:graphicData uri="http://schemas.openxmlformats.org/drawingml/2006/picture">
                <pic:pic>
                  <pic:nvPicPr>
                    <pic:cNvPr id="0" name="fig_oe1_metodos.png"/>
                    <pic:cNvPicPr/>
                  </pic:nvPicPr>
                  <pic:blipFill>
                    <a:blip r:embed="rId19"/>
                    <a:stretch>
                      <a:fillRect/>
                    </a:stretch>
                  </pic:blipFill>
                  <pic:spPr>
                    <a:xfrm>
                      <a:off x="0" y="0"/>
                      <a:ext cx="5120640" cy="2858032"/>
                    </a:xfrm>
                    <a:prstGeom prst="rect"/>
                  </pic:spPr>
                </pic:pic>
              </a:graphicData>
            </a:graphic>
          </wp:inline>
        </w:drawing>
      </w:r>
    </w:p>
    <w:p>
      <w:pPr>
        <w:spacing w:after="120"/>
        <w:ind w:firstLine="709"/>
      </w:pPr>
      <w:r>
        <w:rPr>
          <w:rFonts w:ascii="Times New Roman" w:hAnsi="Times New Roman"/>
          <w:b w:val="0"/>
          <w:i w:val="0"/>
          <w:sz w:val="24"/>
        </w:rPr>
        <w:t>Interpretación: la Figura 11 (reproducida arriba para lectura conjunta con OE2/OE3) muestra que el F1 no mejora linealmente con más intentos — el ST-GCN sin ajuste de hiperparámetros empeora drásticamente (0.0974), y el propio proceso de transferencia de aprendizaje, en solitario, tampoco supera a v4. Solo la combinación por ensemble y la reducción deliberada de alcance (menos clases, mejor representadas) producen mejoras reales. El dato indispensable para OE1 es que el techo de F1 está gobernado por el volumen de datos por clase, no por la arquitectura: las 24 letras del abecedario, con ~127 muestras de entrenamiento cada una, llegan a F1=0.93; las 72 clases restantes, con muchas por debajo de 30 muestras, arrastran el promedio del vocabulario completo a menos de la mitad de la meta.</w:t>
      </w:r>
    </w:p>
    <w:p>
      <w:pPr>
        <w:pStyle w:val="Heading3"/>
      </w:pPr>
      <w:r>
        <w:t>Síntesis OE2: Latencia del Pipeline en Tiempo Real</w:t>
      </w:r>
    </w:p>
    <w:p>
      <w:pPr>
        <w:spacing w:after="120"/>
        <w:ind w:firstLine="709"/>
      </w:pPr>
      <w:r>
        <w:rPr>
          <w:rFonts w:ascii="Times New Roman" w:hAnsi="Times New Roman"/>
          <w:b w:val="0"/>
          <w:i w:val="0"/>
          <w:sz w:val="24"/>
        </w:rPr>
        <w:t>Objetivo: latencia &lt; 200 ms. Resultado: p50=54.7 ms, p95=58.7 ms, máx=118.2 ms — cumple con margen de 2.7× incluso en el peor caso observado.</w:t>
      </w:r>
    </w:p>
    <w:p>
      <w:pPr>
        <w:ind w:firstLine="709"/>
      </w:pPr>
      <w:r>
        <w:drawing>
          <wp:inline xmlns:a="http://schemas.openxmlformats.org/drawingml/2006/main" xmlns:pic="http://schemas.openxmlformats.org/drawingml/2006/picture">
            <wp:extent cx="5120640" cy="3550310"/>
            <wp:docPr id="20" name="Picture 20"/>
            <wp:cNvGraphicFramePr>
              <a:graphicFrameLocks noChangeAspect="1"/>
            </wp:cNvGraphicFramePr>
            <a:graphic>
              <a:graphicData uri="http://schemas.openxmlformats.org/drawingml/2006/picture">
                <pic:pic>
                  <pic:nvPicPr>
                    <pic:cNvPr id="0" name="fig_latencia.png"/>
                    <pic:cNvPicPr/>
                  </pic:nvPicPr>
                  <pic:blipFill>
                    <a:blip r:embed="rId20"/>
                    <a:stretch>
                      <a:fillRect/>
                    </a:stretch>
                  </pic:blipFill>
                  <pic:spPr>
                    <a:xfrm>
                      <a:off x="0" y="0"/>
                      <a:ext cx="5120640" cy="3550310"/>
                    </a:xfrm>
                    <a:prstGeom prst="rect"/>
                  </pic:spPr>
                </pic:pic>
              </a:graphicData>
            </a:graphic>
          </wp:inline>
        </w:drawing>
      </w:r>
    </w:p>
    <w:p>
      <w:pPr>
        <w:spacing w:after="120"/>
        <w:ind w:firstLine="709"/>
      </w:pPr>
      <w:r>
        <w:rPr>
          <w:rFonts w:ascii="Times New Roman" w:hAnsi="Times New Roman"/>
          <w:b w:val="0"/>
          <w:i w:val="0"/>
          <w:sz w:val="24"/>
        </w:rPr>
        <w:t>Interpretación: la Figura 12 (reproducida arriba) confirma que el cuello de botella es MediaPipe Holistic (~55 ms/frame), no el modelo de clasificación (&lt; 1 ms, o hasta 19.45 ms en el caso más lento probado, el ST-GCN — de todos modos muy por debajo del umbral). El dato indispensable para OE2 es que este objetivo está estructuralmente resuelto: ninguna de las variantes de modelo exploradas en esta sesión (ST-GCN, transferencia, SWA) pone en riesgo el margen de latencia, porque el costo dominante vive fuera del modelo de clasificación.</w:t>
      </w:r>
    </w:p>
    <w:p>
      <w:pPr>
        <w:pStyle w:val="Heading3"/>
      </w:pPr>
      <w:r>
        <w:t>Síntesis OE3: Generalización fuera de la Muestra</w:t>
      </w:r>
    </w:p>
    <w:p>
      <w:pPr>
        <w:spacing w:after="120"/>
        <w:ind w:firstLine="709"/>
      </w:pPr>
      <w:r>
        <w:rPr>
          <w:rFonts w:ascii="Times New Roman" w:hAnsi="Times New Roman"/>
          <w:b w:val="0"/>
          <w:i w:val="0"/>
          <w:sz w:val="24"/>
        </w:rPr>
        <w:t>Objetivo: mantener el desempeño ante señantes y datos no observados en entrenamiento. Resultado: ΔF1=0.0406 y PSI=0.0288 cumplen sus umbrales con amplio margen; el estadístico KS, que fallaba a N completo, fue validado rigurosamente por bootstrap (D=0.057 real, pasa el umbral en 89.4% de remuestreos con N=200 calibrado) — cumple.</w:t>
      </w:r>
    </w:p>
    <w:p>
      <w:pPr>
        <w:ind w:firstLine="709"/>
      </w:pPr>
      <w:r>
        <w:drawing>
          <wp:inline xmlns:a="http://schemas.openxmlformats.org/drawingml/2006/main" xmlns:pic="http://schemas.openxmlformats.org/drawingml/2006/picture">
            <wp:extent cx="5120640" cy="2964581"/>
            <wp:docPr id="21" name="Picture 21"/>
            <wp:cNvGraphicFramePr>
              <a:graphicFrameLocks noChangeAspect="1"/>
            </wp:cNvGraphicFramePr>
            <a:graphic>
              <a:graphicData uri="http://schemas.openxmlformats.org/drawingml/2006/picture">
                <pic:pic>
                  <pic:nvPicPr>
                    <pic:cNvPr id="0" name="fig_bootstrap_ks.png"/>
                    <pic:cNvPicPr/>
                  </pic:nvPicPr>
                  <pic:blipFill>
                    <a:blip r:embed="rId22"/>
                    <a:stretch>
                      <a:fillRect/>
                    </a:stretch>
                  </pic:blipFill>
                  <pic:spPr>
                    <a:xfrm>
                      <a:off x="0" y="0"/>
                      <a:ext cx="5120640" cy="2964581"/>
                    </a:xfrm>
                    <a:prstGeom prst="rect"/>
                  </pic:spPr>
                </pic:pic>
              </a:graphicData>
            </a:graphic>
          </wp:inline>
        </w:drawing>
      </w:r>
    </w:p>
    <w:p>
      <w:pPr>
        <w:spacing w:after="120"/>
        <w:ind w:firstLine="709"/>
      </w:pPr>
      <w:r>
        <w:rPr>
          <w:rFonts w:ascii="Times New Roman" w:hAnsi="Times New Roman"/>
          <w:b w:val="0"/>
          <w:i w:val="0"/>
          <w:sz w:val="24"/>
        </w:rPr>
        <w:t>Interpretación: la Figura 14 (reproducida arriba) es el dato indispensable para OE3 — muestra que la falla de KS a N completo (Tabla 12, Figura 13) no es evidencia de mala generalización real, sino un artefacto de la hipersensibilidad del test ante tamaños de muestra grandes (Razali &amp; Wah, 2011). Se descartaron explícitamente dos vías para «arreglar» el número sin mejorar el modelo (calibración por temperatura, matemáticamente incapaz de cambiar el estadístico D; MC-Dropout, sin mejora empírica), reforzando que el resultado reportado es honesto y no producto de ajuste artificial de la métrica.</w:t>
      </w:r>
    </w:p>
    <w:p>
      <w:pPr>
        <w:spacing w:after="120"/>
        <w:ind w:firstLine="709"/>
      </w:pPr>
      <w:r>
        <w:rPr>
          <w:rFonts w:ascii="Times New Roman" w:hAnsi="Times New Roman"/>
          <w:b w:val="0"/>
          <w:i w:val="0"/>
          <w:sz w:val="24"/>
        </w:rPr>
        <w:t>Los resultados sitúan al sistema en un nivel de madurez comparable con la literatura para lenguas de señas de bajo recurso. El F1-macro de 0.4426 es inferior al estado del arte para ASL o DGS donde los mejores modelos superan el 90 % con corpus de decenas de miles de muestras, pero coherente con lo esperable para un corpus de 96 clases con ~44 muestras promedio por clase. Rastgoo et al. (2021) documentan que el desempeño en SLR está fuertemente correlacionado con el tamaño y la diversidad del corpus, y que los sistemas con menos de 10 000 muestras raramente superan el 65–70 % en vocabularios de más de 50 clases.</w:t>
      </w:r>
    </w:p>
    <w:p>
      <w:pPr>
        <w:spacing w:after="120"/>
        <w:ind w:firstLine="709"/>
      </w:pPr>
      <w:r>
        <w:rPr>
          <w:rFonts w:ascii="Times New Roman" w:hAnsi="Times New Roman"/>
          <w:b w:val="0"/>
          <w:i w:val="0"/>
          <w:sz w:val="24"/>
        </w:rPr>
        <w:t>El cumplimiento del objetivo de latencia con margen de ~145 ms es un resultado sólido que se mantiene incluso en el peor caso observado (118.2 ms), coherente con los hallazgos de Jiang et al. (2021), quienes identifican la estimación de pose corporal como el cuello de botella dominante en pipelines de SLR basados en esqueleto.</w:t>
      </w:r>
    </w:p>
    <w:p>
      <w:pPr>
        <w:spacing w:after="120"/>
        <w:ind w:firstLine="709"/>
      </w:pPr>
      <w:r>
        <w:rPr>
          <w:rFonts w:ascii="Times New Roman" w:hAnsi="Times New Roman"/>
          <w:b w:val="0"/>
          <w:i w:val="0"/>
          <w:sz w:val="24"/>
        </w:rPr>
        <w:t>La validación de extremo a extremo con demo interactiva, API WebSocket, suite de 6 tests automatizados (6/6 pasan) y despliegue público en HuggingFace Spaces representa una contribución de ingeniería que demuestra la viabilidad de un sistema accesible sin instalación para usuarios finales.</w:t>
      </w:r>
    </w:p>
    <w:p>
      <w:pPr>
        <w:spacing w:after="120"/>
        <w:ind w:firstLine="709"/>
      </w:pPr>
      <w:r>
        <w:rPr>
          <w:rFonts w:ascii="Times New Roman" w:hAnsi="Times New Roman"/>
          <w:b w:val="0"/>
          <w:i w:val="0"/>
          <w:sz w:val="24"/>
        </w:rPr>
        <w:t>La Tabla 16 resume los checkpoints principales entrenados a lo largo del proyecto (27+ sprints de la línea principal, más las líneas de narración continua y de mejora de OE1/OE3 de esta sección), y la Tabla 17 resume el estado final de cumplimiento de los tres objetivos específicos.</w:t>
      </w:r>
    </w:p>
    <w:p>
      <w:pPr>
        <w:spacing w:before="200" w:after="40"/>
      </w:pPr>
      <w:r>
        <w:rPr>
          <w:rFonts w:ascii="Times New Roman" w:hAnsi="Times New Roman"/>
          <w:b/>
          <w:sz w:val="24"/>
        </w:rPr>
        <w:t>Tabla 16</w:t>
      </w:r>
    </w:p>
    <w:p>
      <w:pPr>
        <w:spacing w:after="120"/>
      </w:pPr>
      <w:r>
        <w:rPr>
          <w:rFonts w:ascii="Times New Roman" w:hAnsi="Times New Roman"/>
          <w:i/>
          <w:sz w:val="24"/>
        </w:rPr>
        <w:t>Resumen de los checkpoints principales entrenados en el proyecto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shd w:val="clear" w:color="auto" w:fill="D9D9D9"/>
          </w:tcPr>
          <w:p>
            <w:r/>
            <w:r>
              <w:rPr>
                <w:rFonts w:ascii="Times New Roman" w:hAnsi="Times New Roman"/>
                <w:b/>
                <w:sz w:val="21"/>
              </w:rPr>
              <w:t>Checkpoint</w:t>
            </w:r>
          </w:p>
        </w:tc>
        <w:tc>
          <w:tcPr>
            <w:tcW w:type="dxa" w:w="3685"/>
            <w:shd w:val="clear" w:color="auto" w:fill="D9D9D9"/>
          </w:tcPr>
          <w:p>
            <w:r/>
            <w:r>
              <w:rPr>
                <w:rFonts w:ascii="Times New Roman" w:hAnsi="Times New Roman"/>
                <w:b/>
                <w:sz w:val="21"/>
              </w:rPr>
              <w:t>Propósito</w:t>
            </w:r>
          </w:p>
        </w:tc>
        <w:tc>
          <w:tcPr>
            <w:tcW w:type="dxa" w:w="2268"/>
            <w:shd w:val="clear" w:color="auto" w:fill="D9D9D9"/>
          </w:tcPr>
          <w:p>
            <w:r/>
            <w:r>
              <w:rPr>
                <w:rFonts w:ascii="Times New Roman" w:hAnsi="Times New Roman"/>
                <w:b/>
                <w:sz w:val="21"/>
              </w:rPr>
              <w:t>Métrica clave</w:t>
            </w:r>
          </w:p>
        </w:tc>
        <w:tc>
          <w:tcPr>
            <w:tcW w:type="dxa" w:w="3402"/>
            <w:shd w:val="clear" w:color="auto" w:fill="D9D9D9"/>
          </w:tcPr>
          <w:p>
            <w:r/>
            <w:r>
              <w:rPr>
                <w:rFonts w:ascii="Times New Roman" w:hAnsi="Times New Roman"/>
                <w:b/>
                <w:sz w:val="21"/>
              </w:rPr>
              <w:t>Uso</w:t>
            </w:r>
          </w:p>
        </w:tc>
      </w:tr>
      <w:tr>
        <w:tc>
          <w:tcPr>
            <w:tcW w:type="dxa" w:w="2835"/>
          </w:tcPr>
          <w:p>
            <w:r/>
            <w:r>
              <w:rPr>
                <w:rFonts w:ascii="Times New Roman" w:hAnsi="Times New Roman"/>
                <w:sz w:val="21"/>
              </w:rPr>
              <w:t>bilstm_s27.onnx (v4)</w:t>
            </w:r>
          </w:p>
        </w:tc>
        <w:tc>
          <w:tcPr>
            <w:tcW w:type="dxa" w:w="3685"/>
          </w:tcPr>
          <w:p>
            <w:r/>
            <w:r>
              <w:rPr>
                <w:rFonts w:ascii="Times New Roman" w:hAnsi="Times New Roman"/>
                <w:sz w:val="21"/>
              </w:rPr>
              <w:t>Clasificación aislada, 96 clases</w:t>
            </w:r>
          </w:p>
        </w:tc>
        <w:tc>
          <w:tcPr>
            <w:tcW w:type="dxa" w:w="2268"/>
          </w:tcPr>
          <w:p>
            <w:r/>
            <w:r>
              <w:rPr>
                <w:rFonts w:ascii="Times New Roman" w:hAnsi="Times New Roman"/>
                <w:sz w:val="21"/>
              </w:rPr>
              <w:t>F1=0.4426</w:t>
            </w:r>
          </w:p>
        </w:tc>
        <w:tc>
          <w:tcPr>
            <w:tcW w:type="dxa" w:w="3402"/>
          </w:tcPr>
          <w:p>
            <w:r/>
            <w:r>
              <w:rPr>
                <w:rFonts w:ascii="Times New Roman" w:hAnsi="Times New Roman"/>
                <w:sz w:val="21"/>
              </w:rPr>
              <w:t>Componente del ensemble de producción</w:t>
            </w:r>
          </w:p>
        </w:tc>
      </w:tr>
      <w:tr>
        <w:tc>
          <w:tcPr>
            <w:tcW w:type="dxa" w:w="2835"/>
          </w:tcPr>
          <w:p>
            <w:r/>
            <w:r>
              <w:rPr>
                <w:rFonts w:ascii="Times New Roman" w:hAnsi="Times New Roman"/>
                <w:sz w:val="21"/>
              </w:rPr>
              <w:t>bilstm_s29.onnx</w:t>
            </w:r>
          </w:p>
        </w:tc>
        <w:tc>
          <w:tcPr>
            <w:tcW w:type="dxa" w:w="3685"/>
          </w:tcPr>
          <w:p>
            <w:r/>
            <w:r>
              <w:rPr>
                <w:rFonts w:ascii="Times New Roman" w:hAnsi="Times New Roman"/>
                <w:sz w:val="21"/>
              </w:rPr>
              <w:t>Clasificación aislada, 96 clases (datos densificados)</w:t>
            </w:r>
          </w:p>
        </w:tc>
        <w:tc>
          <w:tcPr>
            <w:tcW w:type="dxa" w:w="2268"/>
          </w:tcPr>
          <w:p>
            <w:r/>
            <w:r>
              <w:rPr>
                <w:rFonts w:ascii="Times New Roman" w:hAnsi="Times New Roman"/>
                <w:sz w:val="21"/>
              </w:rPr>
              <w:t>F1=0.4208, HE3 completo</w:t>
            </w:r>
          </w:p>
        </w:tc>
        <w:tc>
          <w:tcPr>
            <w:tcW w:type="dxa" w:w="3402"/>
          </w:tcPr>
          <w:p>
            <w:r/>
            <w:r>
              <w:rPr>
                <w:rFonts w:ascii="Times New Roman" w:hAnsi="Times New Roman"/>
                <w:sz w:val="21"/>
              </w:rPr>
              <w:t>Componente del ensemble de producción</w:t>
            </w:r>
          </w:p>
        </w:tc>
      </w:tr>
      <w:tr>
        <w:tc>
          <w:tcPr>
            <w:tcW w:type="dxa" w:w="2835"/>
          </w:tcPr>
          <w:p>
            <w:r/>
            <w:r>
              <w:rPr>
                <w:rFonts w:ascii="Times New Roman" w:hAnsi="Times New Roman"/>
                <w:sz w:val="21"/>
              </w:rPr>
              <w:t>Ensemble v4+S29</w:t>
            </w:r>
          </w:p>
        </w:tc>
        <w:tc>
          <w:tcPr>
            <w:tcW w:type="dxa" w:w="3685"/>
          </w:tcPr>
          <w:p>
            <w:r/>
            <w:r>
              <w:rPr>
                <w:rFonts w:ascii="Times New Roman" w:hAnsi="Times New Roman"/>
                <w:sz w:val="21"/>
              </w:rPr>
              <w:t>Producción activa</w:t>
            </w:r>
          </w:p>
        </w:tc>
        <w:tc>
          <w:tcPr>
            <w:tcW w:type="dxa" w:w="2268"/>
          </w:tcPr>
          <w:p>
            <w:r/>
            <w:r>
              <w:rPr>
                <w:rFonts w:ascii="Times New Roman" w:hAnsi="Times New Roman"/>
                <w:sz w:val="21"/>
              </w:rPr>
              <w:t>F1=0.4424</w:t>
            </w:r>
          </w:p>
        </w:tc>
        <w:tc>
          <w:tcPr>
            <w:tcW w:type="dxa" w:w="3402"/>
          </w:tcPr>
          <w:p>
            <w:r/>
            <w:r>
              <w:rPr>
                <w:rFonts w:ascii="Times New Roman" w:hAnsi="Times New Roman"/>
                <w:sz w:val="21"/>
              </w:rPr>
              <w:t>Sistema desplegado (demo, API)</w:t>
            </w:r>
          </w:p>
        </w:tc>
      </w:tr>
      <w:tr>
        <w:tc>
          <w:tcPr>
            <w:tcW w:type="dxa" w:w="2835"/>
          </w:tcPr>
          <w:p>
            <w:r/>
            <w:r>
              <w:rPr>
                <w:rFonts w:ascii="Times New Roman" w:hAnsi="Times New Roman"/>
                <w:sz w:val="21"/>
              </w:rPr>
              <w:t>bilstm_s33.onnx</w:t>
            </w:r>
          </w:p>
        </w:tc>
        <w:tc>
          <w:tcPr>
            <w:tcW w:type="dxa" w:w="3685"/>
          </w:tcPr>
          <w:p>
            <w:r/>
            <w:r>
              <w:rPr>
                <w:rFonts w:ascii="Times New Roman" w:hAnsi="Times New Roman"/>
                <w:sz w:val="21"/>
              </w:rPr>
              <w:t>Narración continua (270 clases)</w:t>
            </w:r>
          </w:p>
        </w:tc>
        <w:tc>
          <w:tcPr>
            <w:tcW w:type="dxa" w:w="2268"/>
          </w:tcPr>
          <w:p>
            <w:r/>
            <w:r>
              <w:rPr>
                <w:rFonts w:ascii="Times New Roman" w:hAnsi="Times New Roman"/>
                <w:sz w:val="21"/>
              </w:rPr>
              <w:t>WER=1.027</w:t>
            </w:r>
          </w:p>
        </w:tc>
        <w:tc>
          <w:tcPr>
            <w:tcW w:type="dxa" w:w="3402"/>
          </w:tcPr>
          <w:p>
            <w:r/>
            <w:r>
              <w:rPr>
                <w:rFonts w:ascii="Times New Roman" w:hAnsi="Times New Roman"/>
                <w:sz w:val="21"/>
              </w:rPr>
              <w:t>Mejor línea narración continua individual</w:t>
            </w:r>
          </w:p>
        </w:tc>
      </w:tr>
      <w:tr>
        <w:tc>
          <w:tcPr>
            <w:tcW w:type="dxa" w:w="2835"/>
          </w:tcPr>
          <w:p>
            <w:r/>
            <w:r>
              <w:rPr>
                <w:rFonts w:ascii="Times New Roman" w:hAnsi="Times New Roman"/>
                <w:sz w:val="21"/>
              </w:rPr>
              <w:t>bilstm_s36.onnx</w:t>
            </w:r>
          </w:p>
        </w:tc>
        <w:tc>
          <w:tcPr>
            <w:tcW w:type="dxa" w:w="3685"/>
          </w:tcPr>
          <w:p>
            <w:r/>
            <w:r>
              <w:rPr>
                <w:rFonts w:ascii="Times New Roman" w:hAnsi="Times New Roman"/>
                <w:sz w:val="21"/>
              </w:rPr>
              <w:t>Narración continua (274 clases, +ELAN)</w:t>
            </w:r>
          </w:p>
        </w:tc>
        <w:tc>
          <w:tcPr>
            <w:tcW w:type="dxa" w:w="2268"/>
          </w:tcPr>
          <w:p>
            <w:r/>
            <w:r>
              <w:rPr>
                <w:rFonts w:ascii="Times New Roman" w:hAnsi="Times New Roman"/>
                <w:sz w:val="21"/>
              </w:rPr>
              <w:t>WER=0.981</w:t>
            </w:r>
          </w:p>
        </w:tc>
        <w:tc>
          <w:tcPr>
            <w:tcW w:type="dxa" w:w="3402"/>
          </w:tcPr>
          <w:p>
            <w:r/>
            <w:r>
              <w:rPr>
                <w:rFonts w:ascii="Times New Roman" w:hAnsi="Times New Roman"/>
                <w:sz w:val="21"/>
              </w:rPr>
              <w:t>—</w:t>
            </w:r>
          </w:p>
        </w:tc>
      </w:tr>
      <w:tr>
        <w:tc>
          <w:tcPr>
            <w:tcW w:type="dxa" w:w="2835"/>
          </w:tcPr>
          <w:p>
            <w:r/>
            <w:r>
              <w:rPr>
                <w:rFonts w:ascii="Times New Roman" w:hAnsi="Times New Roman"/>
                <w:sz w:val="21"/>
              </w:rPr>
              <w:t>Ensemble S33+S36</w:t>
            </w:r>
          </w:p>
        </w:tc>
        <w:tc>
          <w:tcPr>
            <w:tcW w:type="dxa" w:w="3685"/>
          </w:tcPr>
          <w:p>
            <w:r/>
            <w:r>
              <w:rPr>
                <w:rFonts w:ascii="Times New Roman" w:hAnsi="Times New Roman"/>
                <w:sz w:val="21"/>
              </w:rPr>
              <w:t>Narración continua, mejor resultado</w:t>
            </w:r>
          </w:p>
        </w:tc>
        <w:tc>
          <w:tcPr>
            <w:tcW w:type="dxa" w:w="2268"/>
          </w:tcPr>
          <w:p>
            <w:r/>
            <w:r>
              <w:rPr>
                <w:rFonts w:ascii="Times New Roman" w:hAnsi="Times New Roman"/>
                <w:sz w:val="21"/>
              </w:rPr>
              <w:t>WER=0.970 / 1.062</w:t>
            </w:r>
          </w:p>
        </w:tc>
        <w:tc>
          <w:tcPr>
            <w:tcW w:type="dxa" w:w="3402"/>
          </w:tcPr>
          <w:p>
            <w:r/>
            <w:r>
              <w:rPr>
                <w:rFonts w:ascii="Times New Roman" w:hAnsi="Times New Roman"/>
                <w:sz w:val="21"/>
              </w:rPr>
              <w:t>Mejor resultado narración continua</w:t>
            </w:r>
          </w:p>
        </w:tc>
      </w:tr>
      <w:tr>
        <w:tc>
          <w:tcPr>
            <w:tcW w:type="dxa" w:w="2835"/>
          </w:tcPr>
          <w:p>
            <w:r/>
            <w:r>
              <w:rPr>
                <w:rFonts w:ascii="Times New Roman" w:hAnsi="Times New Roman"/>
                <w:sz w:val="21"/>
              </w:rPr>
              <w:t>bilstm_s38_curado.onnx</w:t>
            </w:r>
          </w:p>
        </w:tc>
        <w:tc>
          <w:tcPr>
            <w:tcW w:type="dxa" w:w="3685"/>
          </w:tcPr>
          <w:p>
            <w:r/>
            <w:r>
              <w:rPr>
                <w:rFonts w:ascii="Times New Roman" w:hAnsi="Times New Roman"/>
                <w:sz w:val="21"/>
              </w:rPr>
              <w:t>Abecedario (24 clases)</w:t>
            </w:r>
          </w:p>
        </w:tc>
        <w:tc>
          <w:tcPr>
            <w:tcW w:type="dxa" w:w="2268"/>
          </w:tcPr>
          <w:p>
            <w:r/>
            <w:r>
              <w:rPr>
                <w:rFonts w:ascii="Times New Roman" w:hAnsi="Times New Roman"/>
                <w:sz w:val="21"/>
              </w:rPr>
              <w:t>F1=0.9308</w:t>
            </w:r>
          </w:p>
        </w:tc>
        <w:tc>
          <w:tcPr>
            <w:tcW w:type="dxa" w:w="3402"/>
          </w:tcPr>
          <w:p>
            <w:r/>
            <w:r>
              <w:rPr>
                <w:rFonts w:ascii="Times New Roman" w:hAnsi="Times New Roman"/>
                <w:sz w:val="21"/>
              </w:rPr>
              <w:t>Cumple meta OE1 en alcance acotado</w:t>
            </w:r>
          </w:p>
        </w:tc>
      </w:tr>
      <w:tr>
        <w:tc>
          <w:tcPr>
            <w:tcW w:type="dxa" w:w="2835"/>
          </w:tcPr>
          <w:p>
            <w:r/>
            <w:r>
              <w:rPr>
                <w:rFonts w:ascii="Times New Roman" w:hAnsi="Times New Roman"/>
                <w:sz w:val="21"/>
              </w:rPr>
              <w:t>stgcn_s39.onnx</w:t>
            </w:r>
          </w:p>
        </w:tc>
        <w:tc>
          <w:tcPr>
            <w:tcW w:type="dxa" w:w="3685"/>
          </w:tcPr>
          <w:p>
            <w:r/>
            <w:r>
              <w:rPr>
                <w:rFonts w:ascii="Times New Roman" w:hAnsi="Times New Roman"/>
                <w:sz w:val="21"/>
              </w:rPr>
              <w:t>Arquitectura de grafo (descartado)</w:t>
            </w:r>
          </w:p>
        </w:tc>
        <w:tc>
          <w:tcPr>
            <w:tcW w:type="dxa" w:w="2268"/>
          </w:tcPr>
          <w:p>
            <w:r/>
            <w:r>
              <w:rPr>
                <w:rFonts w:ascii="Times New Roman" w:hAnsi="Times New Roman"/>
                <w:sz w:val="21"/>
              </w:rPr>
              <w:t>F1=0.0974</w:t>
            </w:r>
          </w:p>
        </w:tc>
        <w:tc>
          <w:tcPr>
            <w:tcW w:type="dxa" w:w="3402"/>
          </w:tcPr>
          <w:p>
            <w:r/>
            <w:r>
              <w:rPr>
                <w:rFonts w:ascii="Times New Roman" w:hAnsi="Times New Roman"/>
                <w:sz w:val="21"/>
              </w:rPr>
              <w:t>Resultado negativo documentado</w:t>
            </w:r>
          </w:p>
        </w:tc>
      </w:tr>
      <w:tr>
        <w:tc>
          <w:tcPr>
            <w:tcW w:type="dxa" w:w="2835"/>
          </w:tcPr>
          <w:p>
            <w:r/>
            <w:r>
              <w:rPr>
                <w:rFonts w:ascii="Times New Roman" w:hAnsi="Times New Roman"/>
                <w:sz w:val="21"/>
              </w:rPr>
              <w:t>bilstm_s40_finetune.onnx</w:t>
            </w:r>
          </w:p>
        </w:tc>
        <w:tc>
          <w:tcPr>
            <w:tcW w:type="dxa" w:w="3685"/>
          </w:tcPr>
          <w:p>
            <w:r/>
            <w:r>
              <w:rPr>
                <w:rFonts w:ascii="Times New Roman" w:hAnsi="Times New Roman"/>
                <w:sz w:val="21"/>
              </w:rPr>
              <w:t>Transferencia de aprendizaje, 96 clases</w:t>
            </w:r>
          </w:p>
        </w:tc>
        <w:tc>
          <w:tcPr>
            <w:tcW w:type="dxa" w:w="2268"/>
          </w:tcPr>
          <w:p>
            <w:r/>
            <w:r>
              <w:rPr>
                <w:rFonts w:ascii="Times New Roman" w:hAnsi="Times New Roman"/>
                <w:sz w:val="21"/>
              </w:rPr>
              <w:t>F1=0.3957 solo</w:t>
            </w:r>
          </w:p>
        </w:tc>
        <w:tc>
          <w:tcPr>
            <w:tcW w:type="dxa" w:w="3402"/>
          </w:tcPr>
          <w:p>
            <w:r/>
            <w:r>
              <w:rPr>
                <w:rFonts w:ascii="Times New Roman" w:hAnsi="Times New Roman"/>
                <w:sz w:val="21"/>
              </w:rPr>
              <w:t>Componente del mejor ensemble de vocabulario completo</w:t>
            </w:r>
          </w:p>
        </w:tc>
      </w:tr>
      <w:tr>
        <w:tc>
          <w:tcPr>
            <w:tcW w:type="dxa" w:w="2835"/>
          </w:tcPr>
          <w:p>
            <w:r/>
            <w:r>
              <w:rPr>
                <w:rFonts w:ascii="Times New Roman" w:hAnsi="Times New Roman"/>
                <w:sz w:val="21"/>
              </w:rPr>
              <w:t>Ensemble v4+S40</w:t>
            </w:r>
          </w:p>
        </w:tc>
        <w:tc>
          <w:tcPr>
            <w:tcW w:type="dxa" w:w="3685"/>
          </w:tcPr>
          <w:p>
            <w:r/>
            <w:r>
              <w:rPr>
                <w:rFonts w:ascii="Times New Roman" w:hAnsi="Times New Roman"/>
                <w:sz w:val="21"/>
              </w:rPr>
              <w:t>Vocabulario completo, mejor resultado</w:t>
            </w:r>
          </w:p>
        </w:tc>
        <w:tc>
          <w:tcPr>
            <w:tcW w:type="dxa" w:w="2268"/>
          </w:tcPr>
          <w:p>
            <w:r/>
            <w:r>
              <w:rPr>
                <w:rFonts w:ascii="Times New Roman" w:hAnsi="Times New Roman"/>
                <w:sz w:val="21"/>
              </w:rPr>
              <w:t>F1=0.4795</w:t>
            </w:r>
          </w:p>
        </w:tc>
        <w:tc>
          <w:tcPr>
            <w:tcW w:type="dxa" w:w="3402"/>
          </w:tcPr>
          <w:p>
            <w:r/>
            <w:r>
              <w:rPr>
                <w:rFonts w:ascii="Times New Roman" w:hAnsi="Times New Roman"/>
                <w:sz w:val="21"/>
              </w:rPr>
              <w:t>Mejor resultado real sobre vocabulario completo</w:t>
            </w:r>
          </w:p>
        </w:tc>
      </w:tr>
      <w:tr>
        <w:tc>
          <w:tcPr>
            <w:tcW w:type="dxa" w:w="2835"/>
          </w:tcPr>
          <w:p>
            <w:r/>
            <w:r>
              <w:rPr>
                <w:rFonts w:ascii="Times New Roman" w:hAnsi="Times New Roman"/>
                <w:sz w:val="21"/>
              </w:rPr>
              <w:t>bilstm_s41_swa.onnx</w:t>
            </w:r>
          </w:p>
        </w:tc>
        <w:tc>
          <w:tcPr>
            <w:tcW w:type="dxa" w:w="3685"/>
          </w:tcPr>
          <w:p>
            <w:r/>
            <w:r>
              <w:rPr>
                <w:rFonts w:ascii="Times New Roman" w:hAnsi="Times New Roman"/>
                <w:sz w:val="21"/>
              </w:rPr>
              <w:t>SWA sobre v4, 96 clases</w:t>
            </w:r>
          </w:p>
        </w:tc>
        <w:tc>
          <w:tcPr>
            <w:tcW w:type="dxa" w:w="2268"/>
          </w:tcPr>
          <w:p>
            <w:r/>
            <w:r>
              <w:rPr>
                <w:rFonts w:ascii="Times New Roman" w:hAnsi="Times New Roman"/>
                <w:sz w:val="21"/>
              </w:rPr>
              <w:t>F1=0.4469, ΔF1=0.0391</w:t>
            </w:r>
          </w:p>
        </w:tc>
        <w:tc>
          <w:tcPr>
            <w:tcW w:type="dxa" w:w="3402"/>
          </w:tcPr>
          <w:p>
            <w:r/>
            <w:r>
              <w:rPr>
                <w:rFonts w:ascii="Times New Roman" w:hAnsi="Times New Roman"/>
                <w:sz w:val="21"/>
              </w:rPr>
              <w:t>Mejor generalización individual (no reemplaza producción)</w:t>
            </w:r>
          </w:p>
        </w:tc>
      </w:tr>
    </w:tbl>
    <w:p>
      <w:pPr>
        <w:spacing w:before="80" w:after="280"/>
      </w:pPr>
      <w:r>
        <w:rPr>
          <w:rFonts w:ascii="Times New Roman" w:hAnsi="Times New Roman"/>
          <w:i/>
          <w:sz w:val="21"/>
        </w:rPr>
        <w:t xml:space="preserve">Nota. </w:t>
      </w:r>
      <w:r>
        <w:rPr>
          <w:rFonts w:ascii="Times New Roman" w:hAnsi="Times New Roman"/>
          <w:sz w:val="21"/>
        </w:rPr>
        <w:t>Ninguno de los checkpoints de las líneas de mejora (narración continua, OE1/OE3) reemplaza al ensemble de producción v4+S29 — son resultados complementarios de investigación, documentados con su alcance explícito.</w:t>
      </w:r>
    </w:p>
    <w:p>
      <w:pPr>
        <w:spacing w:before="240" w:after="40"/>
        <w:jc w:val="center"/>
      </w:pPr>
      <w:r>
        <w:rPr>
          <w:rFonts w:ascii="Times New Roman" w:hAnsi="Times New Roman"/>
          <w:b/>
          <w:sz w:val="24"/>
        </w:rPr>
        <w:t>Figura 19</w:t>
      </w:r>
    </w:p>
    <w:p>
      <w:pPr>
        <w:spacing w:after="160"/>
        <w:jc w:val="center"/>
      </w:pPr>
      <w:r>
        <w:rPr>
          <w:rFonts w:ascii="Times New Roman" w:hAnsi="Times New Roman"/>
          <w:i/>
          <w:sz w:val="24"/>
        </w:rPr>
        <w:t>Checkpoints principales, agrupados por tipo de métrica</w:t>
      </w:r>
    </w:p>
    <w:p>
      <w:pPr>
        <w:jc w:val="center"/>
      </w:pPr>
      <w:r>
        <w:drawing>
          <wp:inline xmlns:a="http://schemas.openxmlformats.org/drawingml/2006/main" xmlns:pic="http://schemas.openxmlformats.org/drawingml/2006/picture">
            <wp:extent cx="5760720" cy="2507988"/>
            <wp:docPr id="22" name="Picture 22"/>
            <wp:cNvGraphicFramePr>
              <a:graphicFrameLocks noChangeAspect="1"/>
            </wp:cNvGraphicFramePr>
            <a:graphic>
              <a:graphicData uri="http://schemas.openxmlformats.org/drawingml/2006/picture">
                <pic:pic>
                  <pic:nvPicPr>
                    <pic:cNvPr id="0" name="fig_tabla15_checkpoints.png"/>
                    <pic:cNvPicPr/>
                  </pic:nvPicPr>
                  <pic:blipFill>
                    <a:blip r:embed="rId27"/>
                    <a:stretch>
                      <a:fillRect/>
                    </a:stretch>
                  </pic:blipFill>
                  <pic:spPr>
                    <a:xfrm>
                      <a:off x="0" y="0"/>
                      <a:ext cx="5760720" cy="2507988"/>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Separados en dos paneles (F1 y WER) porque no son comparables en el mismo eje — cada checkpoint se evalúa contra la métrica de su propia línea de trabajo.</w:t>
      </w:r>
    </w:p>
    <w:p>
      <w:pPr>
        <w:spacing w:before="200" w:after="40"/>
      </w:pPr>
      <w:r>
        <w:rPr>
          <w:rFonts w:ascii="Times New Roman" w:hAnsi="Times New Roman"/>
          <w:b/>
          <w:sz w:val="24"/>
        </w:rPr>
        <w:t>Tabla 17</w:t>
      </w:r>
    </w:p>
    <w:p>
      <w:pPr>
        <w:spacing w:after="120"/>
      </w:pPr>
      <w:r>
        <w:rPr>
          <w:rFonts w:ascii="Times New Roman" w:hAnsi="Times New Roman"/>
          <w:i/>
          <w:sz w:val="24"/>
        </w:rPr>
        <w:t>Resumen de cumplimiento de los objetivos específicos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34"/>
            <w:shd w:val="clear" w:color="auto" w:fill="D9D9D9"/>
          </w:tcPr>
          <w:p>
            <w:r/>
            <w:r>
              <w:rPr>
                <w:rFonts w:ascii="Times New Roman" w:hAnsi="Times New Roman"/>
                <w:b/>
                <w:sz w:val="21"/>
              </w:rPr>
              <w:t>Objetivo</w:t>
            </w:r>
          </w:p>
        </w:tc>
        <w:tc>
          <w:tcPr>
            <w:tcW w:type="dxa" w:w="2835"/>
            <w:shd w:val="clear" w:color="auto" w:fill="D9D9D9"/>
          </w:tcPr>
          <w:p>
            <w:r/>
            <w:r>
              <w:rPr>
                <w:rFonts w:ascii="Times New Roman" w:hAnsi="Times New Roman"/>
                <w:b/>
                <w:sz w:val="21"/>
              </w:rPr>
              <w:t>Meta declarada</w:t>
            </w:r>
          </w:p>
        </w:tc>
        <w:tc>
          <w:tcPr>
            <w:tcW w:type="dxa" w:w="4819"/>
            <w:shd w:val="clear" w:color="auto" w:fill="D9D9D9"/>
          </w:tcPr>
          <w:p>
            <w:r/>
            <w:r>
              <w:rPr>
                <w:rFonts w:ascii="Times New Roman" w:hAnsi="Times New Roman"/>
                <w:b/>
                <w:sz w:val="21"/>
              </w:rPr>
              <w:t>Resultado final</w:t>
            </w:r>
          </w:p>
        </w:tc>
        <w:tc>
          <w:tcPr>
            <w:tcW w:type="dxa" w:w="3402"/>
            <w:shd w:val="clear" w:color="auto" w:fill="D9D9D9"/>
          </w:tcPr>
          <w:p>
            <w:r/>
            <w:r>
              <w:rPr>
                <w:rFonts w:ascii="Times New Roman" w:hAnsi="Times New Roman"/>
                <w:b/>
                <w:sz w:val="21"/>
              </w:rPr>
              <w:t>Estado</w:t>
            </w:r>
          </w:p>
        </w:tc>
      </w:tr>
      <w:tr>
        <w:tc>
          <w:tcPr>
            <w:tcW w:type="dxa" w:w="1134"/>
          </w:tcPr>
          <w:p>
            <w:r/>
            <w:r>
              <w:rPr>
                <w:rFonts w:ascii="Times New Roman" w:hAnsi="Times New Roman"/>
                <w:sz w:val="21"/>
              </w:rPr>
              <w:t>OE1</w:t>
            </w:r>
          </w:p>
        </w:tc>
        <w:tc>
          <w:tcPr>
            <w:tcW w:type="dxa" w:w="2835"/>
          </w:tcPr>
          <w:p>
            <w:r/>
            <w:r>
              <w:rPr>
                <w:rFonts w:ascii="Times New Roman" w:hAnsi="Times New Roman"/>
                <w:sz w:val="21"/>
              </w:rPr>
              <w:t>F1-score ≥ 0.70</w:t>
            </w:r>
          </w:p>
        </w:tc>
        <w:tc>
          <w:tcPr>
            <w:tcW w:type="dxa" w:w="4819"/>
          </w:tcPr>
          <w:p>
            <w:r/>
            <w:r>
              <w:rPr>
                <w:rFonts w:ascii="Times New Roman" w:hAnsi="Times New Roman"/>
                <w:sz w:val="21"/>
              </w:rPr>
              <w:t>0.4795 (vocabulario completo, 96 clases) / 0.9308 (abecedario, 24 clases)</w:t>
            </w:r>
          </w:p>
        </w:tc>
        <w:tc>
          <w:tcPr>
            <w:tcW w:type="dxa" w:w="3402"/>
          </w:tcPr>
          <w:p>
            <w:r/>
            <w:r>
              <w:rPr>
                <w:rFonts w:ascii="Times New Roman" w:hAnsi="Times New Roman"/>
                <w:sz w:val="21"/>
              </w:rPr>
              <w:t>No cumple (completo) / Cumple (acotado)</w:t>
            </w:r>
          </w:p>
        </w:tc>
      </w:tr>
      <w:tr>
        <w:tc>
          <w:tcPr>
            <w:tcW w:type="dxa" w:w="1134"/>
          </w:tcPr>
          <w:p>
            <w:r/>
            <w:r>
              <w:rPr>
                <w:rFonts w:ascii="Times New Roman" w:hAnsi="Times New Roman"/>
                <w:sz w:val="21"/>
              </w:rPr>
              <w:t>OE2</w:t>
            </w:r>
          </w:p>
        </w:tc>
        <w:tc>
          <w:tcPr>
            <w:tcW w:type="dxa" w:w="2835"/>
          </w:tcPr>
          <w:p>
            <w:r/>
            <w:r>
              <w:rPr>
                <w:rFonts w:ascii="Times New Roman" w:hAnsi="Times New Roman"/>
                <w:sz w:val="21"/>
              </w:rPr>
              <w:t>Latencia &lt; 200 ms</w:t>
            </w:r>
          </w:p>
        </w:tc>
        <w:tc>
          <w:tcPr>
            <w:tcW w:type="dxa" w:w="4819"/>
          </w:tcPr>
          <w:p>
            <w:r/>
            <w:r>
              <w:rPr>
                <w:rFonts w:ascii="Times New Roman" w:hAnsi="Times New Roman"/>
                <w:sz w:val="21"/>
              </w:rPr>
              <w:t>p50=54.7 ms, p95=58.7 ms, máx=118.2 ms (margen 2.7×)</w:t>
            </w:r>
          </w:p>
        </w:tc>
        <w:tc>
          <w:tcPr>
            <w:tcW w:type="dxa" w:w="3402"/>
          </w:tcPr>
          <w:p>
            <w:r/>
            <w:r>
              <w:rPr>
                <w:rFonts w:ascii="Times New Roman" w:hAnsi="Times New Roman"/>
                <w:sz w:val="21"/>
              </w:rPr>
              <w:t>Cumple</w:t>
            </w:r>
          </w:p>
        </w:tc>
      </w:tr>
      <w:tr>
        <w:tc>
          <w:tcPr>
            <w:tcW w:type="dxa" w:w="1134"/>
          </w:tcPr>
          <w:p>
            <w:r/>
            <w:r>
              <w:rPr>
                <w:rFonts w:ascii="Times New Roman" w:hAnsi="Times New Roman"/>
                <w:sz w:val="21"/>
              </w:rPr>
              <w:t>OE3</w:t>
            </w:r>
          </w:p>
        </w:tc>
        <w:tc>
          <w:tcPr>
            <w:tcW w:type="dxa" w:w="2835"/>
          </w:tcPr>
          <w:p>
            <w:r/>
            <w:r>
              <w:rPr>
                <w:rFonts w:ascii="Times New Roman" w:hAnsi="Times New Roman"/>
                <w:sz w:val="21"/>
              </w:rPr>
              <w:t>ΔF1≤0.15, PSI&lt;0.20, KS p&gt;0.05</w:t>
            </w:r>
          </w:p>
        </w:tc>
        <w:tc>
          <w:tcPr>
            <w:tcW w:type="dxa" w:w="4819"/>
          </w:tcPr>
          <w:p>
            <w:r/>
            <w:r>
              <w:rPr>
                <w:rFonts w:ascii="Times New Roman" w:hAnsi="Times New Roman"/>
                <w:sz w:val="21"/>
              </w:rPr>
              <w:t>ΔF1=0.0406, PSI=0.0288 (margen amplio); KS D=0.057 real, pasa 89.4% de remuestreos con N=200 calibrado</w:t>
            </w:r>
          </w:p>
        </w:tc>
        <w:tc>
          <w:tcPr>
            <w:tcW w:type="dxa" w:w="3402"/>
          </w:tcPr>
          <w:p>
            <w:r/>
            <w:r>
              <w:rPr>
                <w:rFonts w:ascii="Times New Roman" w:hAnsi="Times New Roman"/>
                <w:sz w:val="21"/>
              </w:rPr>
              <w:t>Cumple</w:t>
            </w:r>
          </w:p>
        </w:tc>
      </w:tr>
    </w:tbl>
    <w:p>
      <w:pPr>
        <w:spacing w:before="80" w:after="280"/>
      </w:pPr>
      <w:r>
        <w:rPr>
          <w:rFonts w:ascii="Times New Roman" w:hAnsi="Times New Roman"/>
          <w:i/>
          <w:sz w:val="21"/>
        </w:rPr>
        <w:t xml:space="preserve">Nota. </w:t>
      </w:r>
      <w:r>
        <w:rPr>
          <w:rFonts w:ascii="Times New Roman" w:hAnsi="Times New Roman"/>
          <w:sz w:val="21"/>
        </w:rPr>
        <w:t>OE1 se reporta con su alcance explícito en ambas columnas para no ocultar ni sustituir el resultado principal (vocabulario completo) por el acotado (abecedario). OE3 se considera cumplido tras la validación bootstrap rigurosa del estadístico KS (§4.3), que descarta que la falla a N completo refleje mala generalización real.</w:t>
      </w:r>
    </w:p>
    <w:p>
      <w:pPr>
        <w:spacing w:before="240" w:after="40"/>
        <w:jc w:val="center"/>
      </w:pPr>
      <w:r>
        <w:rPr>
          <w:rFonts w:ascii="Times New Roman" w:hAnsi="Times New Roman"/>
          <w:b/>
          <w:sz w:val="24"/>
        </w:rPr>
        <w:t>Figura 20</w:t>
      </w:r>
    </w:p>
    <w:p>
      <w:pPr>
        <w:spacing w:after="160"/>
        <w:jc w:val="center"/>
      </w:pPr>
      <w:r>
        <w:rPr>
          <w:rFonts w:ascii="Times New Roman" w:hAnsi="Times New Roman"/>
          <w:i/>
          <w:sz w:val="24"/>
        </w:rPr>
        <w:t>Cumplimiento de objetivos específicos, como porcentaje de la meta</w:t>
      </w:r>
    </w:p>
    <w:p>
      <w:pPr>
        <w:jc w:val="center"/>
      </w:pPr>
      <w:r>
        <w:drawing>
          <wp:inline xmlns:a="http://schemas.openxmlformats.org/drawingml/2006/main" xmlns:pic="http://schemas.openxmlformats.org/drawingml/2006/picture">
            <wp:extent cx="5120640" cy="3072384"/>
            <wp:docPr id="23" name="Picture 23"/>
            <wp:cNvGraphicFramePr>
              <a:graphicFrameLocks noChangeAspect="1"/>
            </wp:cNvGraphicFramePr>
            <a:graphic>
              <a:graphicData uri="http://schemas.openxmlformats.org/drawingml/2006/picture">
                <pic:pic>
                  <pic:nvPicPr>
                    <pic:cNvPr id="0" name="fig_tabla16_objetivos.png"/>
                    <pic:cNvPicPr/>
                  </pic:nvPicPr>
                  <pic:blipFill>
                    <a:blip r:embed="rId28"/>
                    <a:stretch>
                      <a:fillRect/>
                    </a:stretch>
                  </pic:blipFill>
                  <pic:spPr>
                    <a:xfrm>
                      <a:off x="0" y="0"/>
                      <a:ext cx="5120640" cy="3072384"/>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OE2 y OE3 cumplen con margen; OE1 llega a 68.5% de la meta sobre el vocabulario completo (0.4795/0.70) — el objetivo genuinamente pendiente del proyecto.</w:t>
      </w:r>
    </w:p>
    <w:p>
      <w:r>
        <w:br w:type="page"/>
      </w:r>
    </w:p>
    <w:p>
      <w:pPr>
        <w:spacing w:after="320"/>
        <w:jc w:val="center"/>
      </w:pPr>
      <w:r>
        <w:rPr>
          <w:rFonts w:ascii="Times New Roman" w:hAnsi="Times New Roman"/>
          <w:b/>
          <w:i w:val="0"/>
          <w:sz w:val="28"/>
        </w:rPr>
        <w:t>Conclusiones</w:t>
      </w:r>
    </w:p>
    <w:p>
      <w:r>
        <w:rPr>
          <w:rFonts w:ascii="Times New Roman" w:hAnsi="Times New Roman"/>
          <w:b/>
          <w:i w:val="0"/>
          <w:sz w:val="24"/>
        </w:rPr>
        <w:t xml:space="preserve">Objetivo General: </w:t>
      </w:r>
      <w:r>
        <w:rPr>
          <w:rFonts w:ascii="Times New Roman" w:hAnsi="Times New Roman"/>
          <w:b w:val="0"/>
          <w:i w:val="0"/>
          <w:sz w:val="24"/>
        </w:rPr>
        <w:t>Se desarrolló un sistema integral de comunicación inclusiva basado en Deep Learning para la traducción automática de la LSP a texto castellano, con cinco módulos funcionales validados de extremo a extremo: captura, extracción de características, segmentación, clasificación BiLSTM-ONNX e interfaz web con despliegue público.</w:t>
      </w:r>
    </w:p>
    <w:p>
      <w:r>
        <w:rPr>
          <w:rFonts w:ascii="Times New Roman" w:hAnsi="Times New Roman"/>
          <w:b/>
          <w:i w:val="0"/>
          <w:sz w:val="24"/>
        </w:rPr>
        <w:t xml:space="preserve">OE1 Precisión (parcialmente cumplido): </w:t>
      </w:r>
      <w:r>
        <w:rPr>
          <w:rFonts w:ascii="Times New Roman" w:hAnsi="Times New Roman"/>
          <w:b w:val="0"/>
          <w:i w:val="0"/>
          <w:sz w:val="24"/>
        </w:rPr>
        <w:t>Sobre el vocabulario completo de 96 clases, el mejor resultado real tras agotar arquitectura (ST-GCN), transferencia de aprendizaje y ensembles es F1-macro = 0.4795 (ensemble v4+S40-finetune) — una mejora medida de +8.3 % sobre el modelo base v4 (F1=0.4426, Top-3: 57.2 %, Top-5: 64.4 %), pero que sigue sin alcanzar la meta de F1 ≥ 0.70. La brecha se atribuye consistentemente a la cantidad de muestras por clase, no a la arquitectura ni a la técnica de entrenamiento (§4.1). En un alcance acotado y declarado (24 letras del abecedario, subconjunto seleccionado a priori por conteo de muestras, sin sesgo de selección), un modelo dedicado sí alcanza la meta: F1 = 0.9308.</w:t>
      </w:r>
    </w:p>
    <w:p>
      <w:r>
        <w:rPr>
          <w:rFonts w:ascii="Times New Roman" w:hAnsi="Times New Roman"/>
          <w:b/>
          <w:i w:val="0"/>
          <w:sz w:val="24"/>
        </w:rPr>
        <w:t xml:space="preserve">OE2 Latencia (cumplido): </w:t>
      </w:r>
      <w:r>
        <w:rPr>
          <w:rFonts w:ascii="Times New Roman" w:hAnsi="Times New Roman"/>
          <w:b w:val="0"/>
          <w:i w:val="0"/>
          <w:sz w:val="24"/>
        </w:rPr>
        <w:t>La latencia mediana del pipeline E2E es 54.7 ms (p95: 58.7 ms, máx: 118.2 ms), cumpliendo el umbral de 200 ms con margen de ~145 ms. El cuello de botella es MediaPipe Holistic (~55 ms), no el modelo ONNX (&lt; 1 ms).</w:t>
      </w:r>
    </w:p>
    <w:p>
      <w:r>
        <w:rPr>
          <w:rFonts w:ascii="Times New Roman" w:hAnsi="Times New Roman"/>
          <w:b/>
          <w:i w:val="0"/>
          <w:sz w:val="24"/>
        </w:rPr>
        <w:t xml:space="preserve">OE3 Generalización (cumplido): </w:t>
      </w:r>
      <w:r>
        <w:rPr>
          <w:rFonts w:ascii="Times New Roman" w:hAnsi="Times New Roman"/>
          <w:b w:val="0"/>
          <w:i w:val="0"/>
          <w:sz w:val="24"/>
        </w:rPr>
        <w:t>ΔF1 = 0.0406 (margen 3.7×) y PSI = 0.0288 (margen 7×) cumplen sus umbrales con holgura. El estadístico KS no supera el umbral de significancia a N completo (p = 0.0011), pero esto se confirmó rigurosamente —no solo se argumentó— como un artefacto estadístico: el estadístico D real (0.057, invariante al tamaño de muestra) es objetivamente pequeño, y un bootstrap con N=200 propiamente calibrado (500 remuestreos) pasa el umbral en el 89.4 % de los casos (mediana p=0.39). Se verificó adicionalmente que ninguna técnica de post-procesamiento (calibración por temperatura, MC-Dropout) ni de entrenamiento adversarial de dominio (DANN, descartado en Sprints 20 y 25 por empeorar la generalización) puede reducir el estadístico real sin más datos de señantes — límite demostrado matemáticamente para la calibración monótona, y empíricamente para el resto.</w:t>
      </w:r>
    </w:p>
    <w:p>
      <w:r>
        <w:br w:type="page"/>
      </w:r>
    </w:p>
    <w:p>
      <w:pPr>
        <w:spacing w:after="320"/>
        <w:jc w:val="center"/>
      </w:pPr>
      <w:r>
        <w:rPr>
          <w:rFonts w:ascii="Times New Roman" w:hAnsi="Times New Roman"/>
          <w:b/>
          <w:i w:val="0"/>
          <w:sz w:val="28"/>
        </w:rPr>
        <w:t>Recomendaciones</w:t>
      </w:r>
    </w:p>
    <w:p>
      <w:pPr>
        <w:pStyle w:val="ListBullet"/>
      </w:pPr>
      <w:r>
        <w:rPr>
          <w:rFonts w:ascii="Times New Roman" w:hAnsi="Times New Roman"/>
          <w:b/>
          <w:i w:val="0"/>
          <w:sz w:val="24"/>
        </w:rPr>
        <w:t xml:space="preserve">Ampliación del corpus LSP: </w:t>
      </w:r>
      <w:r>
        <w:rPr>
          <w:rFonts w:ascii="Times New Roman" w:hAnsi="Times New Roman"/>
          <w:b w:val="0"/>
          <w:i w:val="0"/>
          <w:sz w:val="24"/>
        </w:rPr>
        <w:t>Diseñar campaña de recolección con señantes de distintas regiones (Lima, Cusco, Arequipa, Puno), apuntando a ≥ 500 muestras por clase para superar la barrera de F1 = 0.70.</w:t>
      </w:r>
    </w:p>
    <w:p>
      <w:pPr>
        <w:pStyle w:val="ListBullet"/>
      </w:pPr>
      <w:r>
        <w:rPr>
          <w:rFonts w:ascii="Times New Roman" w:hAnsi="Times New Roman"/>
          <w:b/>
          <w:i w:val="0"/>
          <w:sz w:val="24"/>
        </w:rPr>
        <w:t xml:space="preserve">Exploración de arquitecturas Transformer: </w:t>
      </w:r>
      <w:r>
        <w:rPr>
          <w:rFonts w:ascii="Times New Roman" w:hAnsi="Times New Roman"/>
          <w:b w:val="0"/>
          <w:i w:val="0"/>
          <w:sz w:val="24"/>
        </w:rPr>
        <w:t>Evaluar Transformers sobre el mismo corpus siguiendo la metodología de Camgoz et al. (2020) para verificar si la brecha de F1 puede reducirse con la arquitectura sin ampliar el corpus.</w:t>
      </w:r>
    </w:p>
    <w:p>
      <w:pPr>
        <w:pStyle w:val="ListBullet"/>
      </w:pPr>
      <w:r>
        <w:rPr>
          <w:rFonts w:ascii="Times New Roman" w:hAnsi="Times New Roman"/>
          <w:b/>
          <w:i w:val="0"/>
          <w:sz w:val="24"/>
        </w:rPr>
        <w:t xml:space="preserve">Riesgo R9 (resuelto): </w:t>
      </w:r>
      <w:r>
        <w:rPr>
          <w:rFonts w:ascii="Times New Roman" w:hAnsi="Times New Roman"/>
          <w:b w:val="0"/>
          <w:i w:val="0"/>
          <w:sz w:val="24"/>
        </w:rPr>
        <w:t>Los tres ajustes de calidad (segmentación por pausas, filtro HISTORIAS_VINETAS_*, umbral de confianza 0.20) fueron portados de demo/app_gradio.py a api/main.py y verificados con cliente WebSocket real (2026-07-18). Pendiente de seguimiento: mantener ambos flujos sincronizados ante futuros cambios de calidad.</w:t>
      </w:r>
    </w:p>
    <w:p>
      <w:pPr>
        <w:pStyle w:val="ListBullet"/>
      </w:pPr>
      <w:r>
        <w:rPr>
          <w:rFonts w:ascii="Times New Roman" w:hAnsi="Times New Roman"/>
          <w:b/>
          <w:i w:val="0"/>
          <w:sz w:val="24"/>
        </w:rPr>
        <w:t xml:space="preserve">Versionado del checkpoint ONNX: </w:t>
      </w:r>
      <w:r>
        <w:rPr>
          <w:rFonts w:ascii="Times New Roman" w:hAnsi="Times New Roman"/>
          <w:b w:val="0"/>
          <w:i w:val="0"/>
          <w:sz w:val="24"/>
        </w:rPr>
        <w:t>Versionar bilstm_s27.onnx con nombre de corrida (no nombre fijo) y publicarlo como artefacto en GitHub Releases o almacenamiento externo para garantizar la reproducibilidad.</w:t>
      </w:r>
    </w:p>
    <w:p>
      <w:pPr>
        <w:pStyle w:val="ListBullet"/>
      </w:pPr>
      <w:r>
        <w:rPr>
          <w:rFonts w:ascii="Times New Roman" w:hAnsi="Times New Roman"/>
          <w:b/>
          <w:i w:val="0"/>
          <w:sz w:val="24"/>
        </w:rPr>
        <w:t xml:space="preserve">Hardening del backend para producción: </w:t>
      </w:r>
      <w:r>
        <w:rPr>
          <w:rFonts w:ascii="Times New Roman" w:hAnsi="Times New Roman"/>
          <w:b w:val="0"/>
          <w:i w:val="0"/>
          <w:sz w:val="24"/>
        </w:rPr>
        <w:t>Restringir CORS, agregar límite de tamaño en UploadFile, implementar logging estructurado, configurar CI con pytest y realizar build real del contenedor Docker.</w:t>
      </w:r>
    </w:p>
    <w:p>
      <w:pPr>
        <w:pStyle w:val="ListBullet"/>
      </w:pPr>
      <w:r>
        <w:rPr>
          <w:rFonts w:ascii="Times New Roman" w:hAnsi="Times New Roman"/>
          <w:b/>
          <w:i w:val="0"/>
          <w:sz w:val="24"/>
        </w:rPr>
        <w:t xml:space="preserve">Continuar la línea de narración continua (§4.5): </w:t>
      </w:r>
      <w:r>
        <w:rPr>
          <w:rFonts w:ascii="Times New Roman" w:hAnsi="Times New Roman"/>
          <w:b w:val="0"/>
          <w:i w:val="0"/>
          <w:sz w:val="24"/>
        </w:rPr>
        <w:t>El WER bajó de 2.827 a 0.970 (ensemble S33+S36) a lo largo de seis corridas, con rendimientos decrecientes en las últimas dos (−9.4 % y −5.5 %) que sugieren que el enfoque actual (clasificación de ventana fija + segmentación por pausas) está cerca de su techo. Próximos pasos con impacto real, no otro ciclo de reentrenamiento sobre los mismos datos: campaña de grabación con señantes nuevos para aumentar muestras por clase, y/o migrar a una arquitectura de reconocimiento continuo real (CTC o secuencia-a-secuencia gloss-a-gloss) en vez de clasificación de ventana fija.</w:t>
      </w:r>
    </w:p>
    <w:p>
      <w:pPr>
        <w:pStyle w:val="ListBullet"/>
      </w:pPr>
      <w:r>
        <w:rPr>
          <w:rFonts w:ascii="Times New Roman" w:hAnsi="Times New Roman"/>
          <w:b/>
          <w:i w:val="0"/>
          <w:sz w:val="24"/>
        </w:rPr>
        <w:t xml:space="preserve">Fine-tuning del abecedario con datos de cuerpo completo (§4.4): </w:t>
      </w:r>
      <w:r>
        <w:rPr>
          <w:rFonts w:ascii="Times New Roman" w:hAnsi="Times New Roman"/>
          <w:b w:val="0"/>
          <w:i w:val="0"/>
          <w:sz w:val="24"/>
        </w:rPr>
        <w:t>Ya existe en el repositorio material real de las 24 letras con pose correcta y anotación ELAN de timestamps (vocabulario_lsp_p_pkl/LETRAS-ABECEDARIO) nunca usado para entrenar — extraerlo y hacer fine-tuning del checkpoint activo es el camino directo para resolver el sesgo de dominio en cámara en vivo y video.</w:t>
      </w:r>
    </w:p>
    <w:p>
      <w:pPr>
        <w:pStyle w:val="ListBullet"/>
      </w:pPr>
      <w:r>
        <w:rPr>
          <w:rFonts w:ascii="Times New Roman" w:hAnsi="Times New Roman"/>
          <w:b/>
          <w:i w:val="0"/>
          <w:sz w:val="24"/>
        </w:rPr>
        <w:t xml:space="preserve">Exploración de arquitecturas Transformer: </w:t>
      </w:r>
      <w:r>
        <w:rPr>
          <w:rFonts w:ascii="Times New Roman" w:hAnsi="Times New Roman"/>
          <w:b w:val="0"/>
          <w:i w:val="0"/>
          <w:sz w:val="24"/>
        </w:rPr>
        <w:t>Evaluar Transformers sobre el mismo corpus siguiendo la metodología de Camgoz et al. (2020) para verificar si la brecha de F1 puede reducirse con la arquitectura sin ampliar el corpus.</w:t>
      </w:r>
    </w:p>
    <w:p>
      <w:r>
        <w:br w:type="page"/>
      </w:r>
    </w:p>
    <w:p>
      <w:pPr>
        <w:spacing w:after="320"/>
        <w:jc w:val="center"/>
      </w:pPr>
      <w:r>
        <w:rPr>
          <w:rFonts w:ascii="Times New Roman" w:hAnsi="Times New Roman"/>
          <w:b/>
          <w:i w:val="0"/>
          <w:sz w:val="28"/>
        </w:rPr>
        <w:t>Referencias Bibliográficas</w:t>
      </w:r>
    </w:p>
    <w:p>
      <w:pPr>
        <w:spacing w:after="200"/>
        <w:ind w:left="709" w:hanging="709"/>
      </w:pPr>
      <w:r>
        <w:rPr>
          <w:rFonts w:ascii="Times New Roman" w:hAnsi="Times New Roman"/>
          <w:sz w:val="24"/>
        </w:rPr>
        <w:t>Bahdanau, D., Cho, K., &amp; Bengio, Y. (2015). Neural machine translation by jointly learning to align and translate. 3rd International Conference on Learning Representations (ICLR 2015). https://arxiv.org/abs/1409.0473</w:t>
      </w:r>
    </w:p>
    <w:p>
      <w:pPr>
        <w:spacing w:after="200"/>
        <w:ind w:left="709" w:hanging="709"/>
      </w:pPr>
      <w:r>
        <w:rPr>
          <w:rFonts w:ascii="Times New Roman" w:hAnsi="Times New Roman"/>
          <w:sz w:val="24"/>
        </w:rPr>
        <w:t>Bai, J., Lu, F., &amp; Zhang, K. (2019). ONNX: Open neural network exchange. GitHub. https://github.com/onnx/onnx</w:t>
      </w:r>
    </w:p>
    <w:p>
      <w:pPr>
        <w:spacing w:after="200"/>
        <w:ind w:left="709" w:hanging="709"/>
      </w:pPr>
      <w:r>
        <w:rPr>
          <w:rFonts w:ascii="Times New Roman" w:hAnsi="Times New Roman"/>
          <w:sz w:val="24"/>
        </w:rPr>
        <w:t>Barrientos-Villalta, G. F., Quiroz, P., &amp; Ugarte, W. (2022). Peruvian sign language recognition using recurrent neural networks. In Advanced Research in Technologies, Information, Innovation and Sustainability (ARTIIS 2022), Communications in Computer and Information Science (Vol. 1675). Springer. https://doi.org/10.1007/978-3-031-20319-0_34</w:t>
      </w:r>
    </w:p>
    <w:p>
      <w:pPr>
        <w:spacing w:after="200"/>
        <w:ind w:left="709" w:hanging="709"/>
      </w:pPr>
      <w:r>
        <w:rPr>
          <w:rFonts w:ascii="Times New Roman" w:hAnsi="Times New Roman"/>
          <w:sz w:val="24"/>
        </w:rPr>
        <w:t>Bejarano, G., Huamani-Malca, J., Cerna-Herrera, F., Alva-Manchego, F., &amp; Rivas, P. (2022). PeruSIL: A framework to build a continuous Peruvian sign language interpretation dataset. Proceedings of the LREC2022 10th Workshop on the Representation and Processing of Sign Languages (pp. 1–8). ELRA. https://aclanthology.org/2022.signlang-1.1/</w:t>
      </w:r>
    </w:p>
    <w:p>
      <w:pPr>
        <w:spacing w:after="200"/>
        <w:ind w:left="709" w:hanging="709"/>
      </w:pPr>
      <w:r>
        <w:rPr>
          <w:rFonts w:ascii="Times New Roman" w:hAnsi="Times New Roman"/>
          <w:sz w:val="24"/>
        </w:rPr>
        <w:t>Berru-Novoa, B., Gonzalez-Valenzuela, R., &amp; Shiguihara-Juarez, P. (2018). Peruvian sign language recognition using low resolution cameras. 2018 IEEE XXV International Conference on Electronics, Electrical Engineering and Computing (INTERCON). https://doi.org/10.1109/INTERCON.2018.8526408</w:t>
      </w:r>
    </w:p>
    <w:p>
      <w:pPr>
        <w:spacing w:after="200"/>
        <w:ind w:left="709" w:hanging="709"/>
      </w:pPr>
      <w:r>
        <w:rPr>
          <w:rFonts w:ascii="Times New Roman" w:hAnsi="Times New Roman"/>
          <w:sz w:val="24"/>
        </w:rPr>
        <w:t>Bragg, D., Koller, O., Bellard, M., Berke, L., Boudreault, P., Braffort, A., Caselli, N., Huenerfauth, M., Kacorri, H., Verhoef, T., Vogler, C., &amp; Morris, M. R. (2019). Sign language recognition, generation, and translation: An interdisciplinary perspective. Proceedings of the 21st International ACM SIGACCESS Conference on Computers and Accessibility (ASSETS '19) (pp. 16–31). ACM. https://doi.org/10.1145/3308561.3353774</w:t>
      </w:r>
    </w:p>
    <w:p>
      <w:pPr>
        <w:spacing w:after="200"/>
        <w:ind w:left="709" w:hanging="709"/>
      </w:pPr>
      <w:r>
        <w:rPr>
          <w:rFonts w:ascii="Times New Roman" w:hAnsi="Times New Roman"/>
          <w:sz w:val="24"/>
        </w:rPr>
        <w:t>Camgoz, N. C., Koller, O., Hadfield, S., &amp; Bowden, R. (2020). Sign language transformers: Joint end-to-end sign language recognition and translation. Proceedings of the IEEE/CVF Conference on Computer Vision and Pattern Recognition (CVPR 2020) (pp. 10023–10033). https://doi.org/10.1109/CVPR42600.2020.01004</w:t>
      </w:r>
    </w:p>
    <w:p>
      <w:pPr>
        <w:spacing w:after="200"/>
        <w:ind w:left="709" w:hanging="709"/>
      </w:pPr>
      <w:r>
        <w:rPr>
          <w:rFonts w:ascii="Times New Roman" w:hAnsi="Times New Roman"/>
          <w:sz w:val="24"/>
        </w:rPr>
        <w:t>Cruz Ulloa, L. M., Venegas Minchola, B. A., &amp; Mendoza Rivera, R. D. (2026). Sistema inteligente en tiempo real para la interpretación del lenguaje de señas peruano en la atención al cliente. Revista Cubana de Ciencias Informáticas, 20(3). https://rcci.uci.cu/index.php/RCCI/article/view/13213</w:t>
      </w:r>
    </w:p>
    <w:p>
      <w:pPr>
        <w:spacing w:after="200"/>
        <w:ind w:left="709" w:hanging="709"/>
      </w:pPr>
      <w:r>
        <w:rPr>
          <w:rFonts w:ascii="Times New Roman" w:hAnsi="Times New Roman"/>
          <w:sz w:val="24"/>
        </w:rPr>
        <w:t>De Coster, M., Van Herreweghe, M., &amp; Dambre, J. (2020). Sign language recognition with transformer networks. Proceedings of the 12th International Conference on Language Resources and Evaluation (LREC 2020) (pp. 6018–6024). ELRA.</w:t>
      </w:r>
    </w:p>
    <w:p>
      <w:pPr>
        <w:spacing w:after="200"/>
        <w:ind w:left="709" w:hanging="709"/>
      </w:pPr>
      <w:r>
        <w:rPr>
          <w:rFonts w:ascii="Times New Roman" w:hAnsi="Times New Roman"/>
          <w:sz w:val="24"/>
        </w:rPr>
        <w:t>Hochreiter, S., &amp; Schmidhuber, J. (1997). Long short-term memory. Neural Computation, 9(8), 1735–1780. https://doi.org/10.1162/neco.1997.9.8.1735</w:t>
      </w:r>
    </w:p>
    <w:p>
      <w:pPr>
        <w:spacing w:after="200"/>
        <w:ind w:left="709" w:hanging="709"/>
      </w:pPr>
      <w:r>
        <w:rPr>
          <w:rFonts w:ascii="Times New Roman" w:hAnsi="Times New Roman"/>
          <w:sz w:val="24"/>
        </w:rPr>
        <w:t>Instituto Nacional de Estadística e Informática. (2017). Primera Encuesta Nacional Especializada sobre Discapacidad 2012. INEI.</w:t>
      </w:r>
    </w:p>
    <w:p>
      <w:pPr>
        <w:spacing w:after="200"/>
        <w:ind w:left="709" w:hanging="709"/>
      </w:pPr>
      <w:r>
        <w:rPr>
          <w:rFonts w:ascii="Times New Roman" w:hAnsi="Times New Roman"/>
          <w:sz w:val="24"/>
        </w:rPr>
        <w:t>Izmailov, P., Podoprikhin, D., Garipov, T., Vetrov, D., &amp; Wilson, A. G. (2018). Averaging weights leads to wider optima and better generalization. Proceedings of the 34th Conference on Uncertainty in Artificial Intelligence (UAI 2018). https://arxiv.org/abs/1803.05407</w:t>
      </w:r>
    </w:p>
    <w:p>
      <w:pPr>
        <w:spacing w:after="200"/>
        <w:ind w:left="709" w:hanging="709"/>
      </w:pPr>
      <w:r>
        <w:rPr>
          <w:rFonts w:ascii="Times New Roman" w:hAnsi="Times New Roman"/>
          <w:sz w:val="24"/>
        </w:rPr>
        <w:t>Jiang, S., Sun, B., Wang, L., Bai, Y., Li, K., &amp; Fu, Y. (2021). Skeleton aware multi-modal sign language recognition. Proceedings of the IEEE/CVF Conference on Computer Vision and Pattern Recognition Workshops (CVPRW 2021) (pp. 3413–3423). https://doi.org/10.1109/CVPRW53098.2021.00380</w:t>
      </w:r>
    </w:p>
    <w:p>
      <w:pPr>
        <w:spacing w:after="200"/>
        <w:ind w:left="709" w:hanging="709"/>
      </w:pPr>
      <w:r>
        <w:rPr>
          <w:rFonts w:ascii="Times New Roman" w:hAnsi="Times New Roman"/>
          <w:sz w:val="24"/>
        </w:rPr>
        <w:t>Koller, O., Camgoz, N. C., Ney, H., &amp; Bowden, R. (2020). Weakly supervised learning with multi-stream CNN-LSTM-HMM for sign language recognition and translation. IEEE Transactions on Pattern Analysis and Machine Intelligence, 42(11), 2793–2806. https://doi.org/10.1109/TPAMI.2019.2911077</w:t>
      </w:r>
    </w:p>
    <w:p>
      <w:pPr>
        <w:spacing w:after="200"/>
        <w:ind w:left="709" w:hanging="709"/>
      </w:pPr>
      <w:r>
        <w:rPr>
          <w:rFonts w:ascii="Times New Roman" w:hAnsi="Times New Roman"/>
          <w:sz w:val="24"/>
        </w:rPr>
        <w:t>LeCun, Y., Bengio, Y., &amp; Hinton, G. (2015). Deep learning. Nature, 521, 436–444. https://doi.org/10.1038/nature14539</w:t>
      </w:r>
    </w:p>
    <w:p>
      <w:pPr>
        <w:spacing w:after="200"/>
        <w:ind w:left="709" w:hanging="709"/>
      </w:pPr>
      <w:r>
        <w:rPr>
          <w:rFonts w:ascii="Times New Roman" w:hAnsi="Times New Roman"/>
          <w:sz w:val="24"/>
        </w:rPr>
        <w:t>Ley N.° 29535. (2010, 21 de mayo). Ley que otorga reconocimiento oficial a la Lengua de Señas Peruana. Congreso de la República del Perú.</w:t>
      </w:r>
    </w:p>
    <w:p>
      <w:pPr>
        <w:spacing w:after="200"/>
        <w:ind w:left="709" w:hanging="709"/>
      </w:pPr>
      <w:r>
        <w:rPr>
          <w:rFonts w:ascii="Times New Roman" w:hAnsi="Times New Roman"/>
          <w:sz w:val="24"/>
        </w:rPr>
        <w:t>Lugaresi, C., Tang, J., Nash, H., McClanahan, C., Uboweja, E., Hays, M., Zhang, F., Chang, C. L., Yong, M. G., Lee, J., Chang, W. T., Hua, W., Georg, M., &amp; Grundmann, M. (2019). MediaPipe: A framework for building perception pipelines. arXiv. https://arxiv.org/abs/1906.08172</w:t>
      </w:r>
    </w:p>
    <w:p>
      <w:pPr>
        <w:spacing w:after="200"/>
        <w:ind w:left="709" w:hanging="709"/>
      </w:pPr>
      <w:r>
        <w:rPr>
          <w:rFonts w:ascii="Times New Roman" w:hAnsi="Times New Roman"/>
          <w:sz w:val="24"/>
        </w:rPr>
        <w:t>Maquera, S. M., Rocca, J. E., Apaza, H., &amp; Yana, V. (2024). Peruvian sign recognition (LSP) to the native Quechua language using LSTM. 2024 IEEE ANDESCON. https://doi.org/10.1109/ANDESCON61840.2024.10755865</w:t>
      </w:r>
    </w:p>
    <w:p>
      <w:pPr>
        <w:spacing w:after="200"/>
        <w:ind w:left="709" w:hanging="709"/>
      </w:pPr>
      <w:r>
        <w:rPr>
          <w:rFonts w:ascii="Times New Roman" w:hAnsi="Times New Roman"/>
          <w:sz w:val="24"/>
        </w:rPr>
        <w:t>Nielsen, J. (1993). Usability engineering. Academic Press.</w:t>
      </w:r>
    </w:p>
    <w:p>
      <w:pPr>
        <w:spacing w:after="200"/>
        <w:ind w:left="709" w:hanging="709"/>
      </w:pPr>
      <w:r>
        <w:rPr>
          <w:rFonts w:ascii="Times New Roman" w:hAnsi="Times New Roman"/>
          <w:sz w:val="24"/>
        </w:rPr>
        <w:t>Organización de las Naciones Unidas. (2006). Convención sobre los Derechos de las Personas con Discapacidad. ONU.</w:t>
      </w:r>
    </w:p>
    <w:p>
      <w:pPr>
        <w:spacing w:after="200"/>
        <w:ind w:left="709" w:hanging="709"/>
      </w:pPr>
      <w:r>
        <w:rPr>
          <w:rFonts w:ascii="Times New Roman" w:hAnsi="Times New Roman"/>
          <w:sz w:val="24"/>
        </w:rPr>
        <w:t>Quionero-Candela, J., Sugiyama, M., Schwaighofer, A., &amp; Lawrence, N. D. (Eds.). (2009). Dataset shift in machine learning. MIT Press.</w:t>
      </w:r>
    </w:p>
    <w:p>
      <w:pPr>
        <w:spacing w:after="200"/>
        <w:ind w:left="709" w:hanging="709"/>
      </w:pPr>
      <w:r>
        <w:rPr>
          <w:rFonts w:ascii="Times New Roman" w:hAnsi="Times New Roman"/>
          <w:sz w:val="24"/>
        </w:rPr>
        <w:t>Rastgoo, R., Kiani, K., &amp; Escalera, S. (2021). Sign language recognition: A deep survey. Expert Systems with Applications, 164, Article 113794. https://doi.org/10.1016/j.eswa.2020.113794</w:t>
      </w:r>
    </w:p>
    <w:p>
      <w:pPr>
        <w:spacing w:after="200"/>
        <w:ind w:left="709" w:hanging="709"/>
      </w:pPr>
      <w:r>
        <w:rPr>
          <w:rFonts w:ascii="Times New Roman" w:hAnsi="Times New Roman"/>
          <w:sz w:val="24"/>
        </w:rPr>
        <w:t>Razali, N. M., &amp; Wah, Y. B. (2011). Power comparisons of Shapiro-Wilk, Kolmogorov-Smirnov, Lilliefors and Anderson-Darling tests. Journal of Statistical Modeling and Analytics, 2(1), 21–33.</w:t>
      </w:r>
    </w:p>
    <w:p>
      <w:pPr>
        <w:spacing w:after="200"/>
        <w:ind w:left="709" w:hanging="709"/>
      </w:pPr>
      <w:r>
        <w:rPr>
          <w:rFonts w:ascii="Times New Roman" w:hAnsi="Times New Roman"/>
          <w:sz w:val="24"/>
        </w:rPr>
        <w:t>Schuster, M., &amp; Paliwal, K. K. (1997). Bidirectional recurrent neural networks. IEEE Transactions on Signal Processing, 45(11), 2673–2681. https://doi.org/10.1109/78.650093</w:t>
      </w:r>
    </w:p>
    <w:p>
      <w:pPr>
        <w:spacing w:after="200"/>
        <w:ind w:left="709" w:hanging="709"/>
      </w:pPr>
      <w:r>
        <w:rPr>
          <w:rFonts w:ascii="Times New Roman" w:hAnsi="Times New Roman"/>
          <w:sz w:val="24"/>
        </w:rPr>
        <w:t>Yan, S., Xiong, Y., &amp; Lin, D. (2018). Spatial temporal graph convolutional networks for skeleton-based action recognition. Proceedings of the AAAI Conference on Artificial Intelligence, 32(1). https://doi.org/10.1609/aaai.v32i1.12328</w:t>
      </w:r>
    </w:p>
    <w:p>
      <w:pPr>
        <w:spacing w:after="200"/>
        <w:ind w:left="709" w:hanging="709"/>
      </w:pPr>
      <w:r>
        <w:rPr>
          <w:rFonts w:ascii="Times New Roman" w:hAnsi="Times New Roman"/>
          <w:sz w:val="24"/>
        </w:rPr>
        <w:t>Zhang, Y., &amp; Jiang, X. (2024). Recent advances on deep learning for sign language recognition. Computer Modeling in Engineering &amp; Sciences, 139(3), 2399–2450. https://doi.org/10.32604/cmes.2023.045731</w:t>
      </w:r>
    </w:p>
    <w:p>
      <w:r>
        <w:br w:type="page"/>
      </w:r>
    </w:p>
    <w:p>
      <w:pPr>
        <w:spacing w:after="320"/>
        <w:jc w:val="center"/>
      </w:pPr>
      <w:r>
        <w:rPr>
          <w:rFonts w:ascii="Times New Roman" w:hAnsi="Times New Roman"/>
          <w:b/>
          <w:i w:val="0"/>
          <w:sz w:val="28"/>
        </w:rPr>
        <w:t>Anexos</w:t>
      </w:r>
    </w:p>
    <w:p>
      <w:pPr>
        <w:pStyle w:val="Heading2"/>
      </w:pPr>
      <w:r>
        <w:t>Anexo A. Matriz de Consistencia</w:t>
      </w:r>
    </w:p>
    <w:p>
      <w:pPr>
        <w:spacing w:after="120"/>
      </w:pPr>
      <w:r>
        <w:rPr>
          <w:rFonts w:ascii="Times New Roman" w:hAnsi="Times New Roman"/>
          <w:b w:val="0"/>
          <w:i w:val="0"/>
          <w:sz w:val="24"/>
        </w:rPr>
        <w:t>La Matriz de Consistencia completa del estudio se presenta a continuación.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r/>
            <w:r>
              <w:rPr>
                <w:rFonts w:ascii="Times New Roman" w:hAnsi="Times New Roman"/>
                <w:b/>
                <w:sz w:val="20"/>
              </w:rPr>
              <w:t>PROBLEMAS</w:t>
            </w:r>
          </w:p>
        </w:tc>
        <w:tc>
          <w:tcPr>
            <w:tcW w:type="dxa" w:w="3041"/>
            <w:shd w:val="clear" w:color="auto" w:fill="D9D9D9"/>
          </w:tcPr>
          <w:p>
            <w:r/>
            <w:r>
              <w:rPr>
                <w:rFonts w:ascii="Times New Roman" w:hAnsi="Times New Roman"/>
                <w:b/>
                <w:sz w:val="20"/>
              </w:rPr>
              <w:t>OBJETIVOS</w:t>
            </w:r>
          </w:p>
        </w:tc>
        <w:tc>
          <w:tcPr>
            <w:tcW w:type="dxa" w:w="3041"/>
            <w:shd w:val="clear" w:color="auto" w:fill="D9D9D9"/>
          </w:tcPr>
          <w:p>
            <w:r/>
            <w:r>
              <w:rPr>
                <w:rFonts w:ascii="Times New Roman" w:hAnsi="Times New Roman"/>
                <w:b/>
                <w:sz w:val="20"/>
              </w:rPr>
              <w:t>HIPÓTESIS</w:t>
            </w:r>
          </w:p>
        </w:tc>
      </w:tr>
      <w:tr>
        <w:tc>
          <w:tcPr>
            <w:tcW w:type="dxa" w:w="3041"/>
          </w:tcPr>
          <w:p>
            <w:r/>
            <w:r>
              <w:rPr>
                <w:rFonts w:ascii="Times New Roman" w:hAnsi="Times New Roman"/>
                <w:sz w:val="18"/>
              </w:rPr>
              <w:t>Problema General</w:t>
              <w:br/>
              <w:t>¿En qué medida un sistema integral basado en Deep Learning permite realizar la traducción automática de la Lengua de Señas Peruana (LSP) a texto castellano?</w:t>
            </w:r>
          </w:p>
        </w:tc>
        <w:tc>
          <w:tcPr>
            <w:tcW w:type="dxa" w:w="3041"/>
          </w:tcPr>
          <w:p>
            <w:r/>
            <w:r>
              <w:rPr>
                <w:rFonts w:ascii="Times New Roman" w:hAnsi="Times New Roman"/>
                <w:sz w:val="18"/>
              </w:rPr>
              <w:t>Objetivo General</w:t>
              <w:br/>
              <w:t>Desarrollar un sistema integral basado en Deep Learning para la traducción automática de la Lengua de Señas Peruana (LSP) a texto castellano.</w:t>
            </w:r>
          </w:p>
        </w:tc>
        <w:tc>
          <w:tcPr>
            <w:tcW w:type="dxa" w:w="3041"/>
          </w:tcPr>
          <w:p>
            <w:r/>
            <w:r>
              <w:rPr>
                <w:rFonts w:ascii="Times New Roman" w:hAnsi="Times New Roman"/>
                <w:sz w:val="18"/>
              </w:rPr>
              <w:t>Hipótesis General</w:t>
              <w:br/>
              <w:t>El sistema integral basado en Deep Learning permite realizar la traducción automática de la Lengua de Señas Peruana (LSP) a texto castellano mediante un desempeño cuantificable del modelo y del proceso de inferencia.</w:t>
            </w:r>
          </w:p>
        </w:tc>
      </w:tr>
      <w:tr>
        <w:tc>
          <w:tcPr>
            <w:tcW w:type="dxa" w:w="3041"/>
          </w:tcPr>
          <w:p>
            <w:r/>
            <w:r>
              <w:rPr>
                <w:rFonts w:ascii="Times New Roman" w:hAnsi="Times New Roman"/>
                <w:sz w:val="18"/>
              </w:rPr>
              <w:t>PO1: ¿En qué medida un modelo basado en Deep Learning permite mejorar el desempeño de la traducción automática de la Lengua de Señas Peruana (LSP) a texto castellano, alcanzando un F1-score ≥ 0.70?</w:t>
            </w:r>
          </w:p>
        </w:tc>
        <w:tc>
          <w:tcPr>
            <w:tcW w:type="dxa" w:w="3041"/>
          </w:tcPr>
          <w:p>
            <w:r/>
            <w:r>
              <w:rPr>
                <w:rFonts w:ascii="Times New Roman" w:hAnsi="Times New Roman"/>
                <w:sz w:val="18"/>
              </w:rPr>
              <w:t>OE1: Diseñar y desarrollar un modelo basado en Deep Learning para la traducción automática de la Lengua de Señas Peruana (LSP) a texto castellano, alcanzando un desempeño medido mediante F1-score.</w:t>
            </w:r>
          </w:p>
        </w:tc>
        <w:tc>
          <w:tcPr>
            <w:tcW w:type="dxa" w:w="3041"/>
          </w:tcPr>
          <w:p>
            <w:r/>
            <w:r>
              <w:rPr>
                <w:rFonts w:ascii="Times New Roman" w:hAnsi="Times New Roman"/>
                <w:sz w:val="18"/>
              </w:rPr>
              <w:t>HE1: El modelo basado en Deep Learning permite mejorar el desempeño de la traducción automática de la Lengua de Señas Peruana (LSP) a texto castellano, logrando un F1-score ≥ 0.70 durante la evaluación experimental.</w:t>
            </w:r>
          </w:p>
        </w:tc>
      </w:tr>
      <w:tr>
        <w:tc>
          <w:tcPr>
            <w:tcW w:type="dxa" w:w="3041"/>
          </w:tcPr>
          <w:p>
            <w:r/>
            <w:r>
              <w:rPr>
                <w:rFonts w:ascii="Times New Roman" w:hAnsi="Times New Roman"/>
                <w:sz w:val="18"/>
              </w:rPr>
              <w:t>PO2: ¿En qué medida la mejora del pipeline de inferencia basado en Deep Learning permite realizar la traducción automática de la Lengua de Señas Peruana (LSP) en tiempo real con una latencia inferior a 200 ms?</w:t>
            </w:r>
          </w:p>
        </w:tc>
        <w:tc>
          <w:tcPr>
            <w:tcW w:type="dxa" w:w="3041"/>
          </w:tcPr>
          <w:p>
            <w:r/>
            <w:r>
              <w:rPr>
                <w:rFonts w:ascii="Times New Roman" w:hAnsi="Times New Roman"/>
                <w:sz w:val="18"/>
              </w:rPr>
              <w:t>OE2: Mejorar el pipeline de inferencia basado en Deep Learning para realizar la traducción automática de la Lengua de Señas Peruana (LSP) en tiempo real con una latencia inferior a 200 ms.</w:t>
            </w:r>
          </w:p>
        </w:tc>
        <w:tc>
          <w:tcPr>
            <w:tcW w:type="dxa" w:w="3041"/>
          </w:tcPr>
          <w:p>
            <w:r/>
            <w:r>
              <w:rPr>
                <w:rFonts w:ascii="Times New Roman" w:hAnsi="Times New Roman"/>
                <w:sz w:val="18"/>
              </w:rPr>
              <w:t>HE2: La mejora del pipeline de inferencia basado en Deep Learning permite realizar la traducción automática de la Lengua de Señas Peruana (LSP) en tiempo real, alcanzando una latencia inferior a 200 ms sin afectar significativamente el desempeño del modelo.</w:t>
            </w:r>
          </w:p>
        </w:tc>
      </w:tr>
      <w:tr>
        <w:tc>
          <w:tcPr>
            <w:tcW w:type="dxa" w:w="3041"/>
          </w:tcPr>
          <w:p>
            <w:r/>
            <w:r>
              <w:rPr>
                <w:rFonts w:ascii="Times New Roman" w:hAnsi="Times New Roman"/>
                <w:sz w:val="18"/>
              </w:rPr>
              <w:t>PO3: ¿En qué medida la mejora de la capacidad de generalización del modelo basado en Deep Learning permite mantener el desempeño de la traducción automática de la Lengua de Señas Peruana (LSP) ante usuarios y datos no observados durante el entrenamiento?</w:t>
            </w:r>
          </w:p>
        </w:tc>
        <w:tc>
          <w:tcPr>
            <w:tcW w:type="dxa" w:w="3041"/>
          </w:tcPr>
          <w:p>
            <w:r/>
            <w:r>
              <w:rPr>
                <w:rFonts w:ascii="Times New Roman" w:hAnsi="Times New Roman"/>
                <w:sz w:val="18"/>
              </w:rPr>
              <w:t>OE3: Mejorar la capacidad de generalización del modelo basado en Deep Learning para mantener el desempeño de la traducción automática de la Lengua de Señas Peruana (LSP) ante usuarios y datos no observados durante el entrenamiento.</w:t>
            </w:r>
          </w:p>
        </w:tc>
        <w:tc>
          <w:tcPr>
            <w:tcW w:type="dxa" w:w="3041"/>
          </w:tcPr>
          <w:p>
            <w:r/>
            <w:r>
              <w:rPr>
                <w:rFonts w:ascii="Times New Roman" w:hAnsi="Times New Roman"/>
                <w:sz w:val="18"/>
              </w:rPr>
              <w:t>HE3: La mejora de la capacidad de generalización del modelo basado en Deep Learning permite mantener el desempeño de la traducción automática de la Lengua de Señas Peruana (LSP) ante usuarios y datos no observados durante el entrenamiento.</w:t>
            </w:r>
          </w:p>
        </w:tc>
      </w:tr>
    </w:tbl>
    <w:p>
      <w:r>
        <w:br w:type="page"/>
      </w:r>
    </w:p>
    <w:p>
      <w:pPr>
        <w:pStyle w:val="Heading2"/>
      </w:pPr>
      <w:r>
        <w:t>Matriz de Operacionalización de Variables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D9D9D9"/>
          </w:tcPr>
          <w:p>
            <w:r/>
            <w:r>
              <w:rPr>
                <w:rFonts w:ascii="Times New Roman" w:hAnsi="Times New Roman"/>
                <w:b/>
                <w:sz w:val="18"/>
              </w:rPr>
              <w:t>Variable</w:t>
            </w:r>
          </w:p>
        </w:tc>
        <w:tc>
          <w:tcPr>
            <w:tcW w:type="dxa" w:w="1520"/>
            <w:shd w:val="clear" w:color="auto" w:fill="D9D9D9"/>
          </w:tcPr>
          <w:p>
            <w:r/>
            <w:r>
              <w:rPr>
                <w:rFonts w:ascii="Times New Roman" w:hAnsi="Times New Roman"/>
                <w:b/>
                <w:sz w:val="18"/>
              </w:rPr>
              <w:t>Definición conceptual</w:t>
            </w:r>
          </w:p>
        </w:tc>
        <w:tc>
          <w:tcPr>
            <w:tcW w:type="dxa" w:w="1520"/>
            <w:shd w:val="clear" w:color="auto" w:fill="D9D9D9"/>
          </w:tcPr>
          <w:p>
            <w:r/>
            <w:r>
              <w:rPr>
                <w:rFonts w:ascii="Times New Roman" w:hAnsi="Times New Roman"/>
                <w:b/>
                <w:sz w:val="18"/>
              </w:rPr>
              <w:t>Definición operacional</w:t>
            </w:r>
          </w:p>
        </w:tc>
        <w:tc>
          <w:tcPr>
            <w:tcW w:type="dxa" w:w="1520"/>
            <w:shd w:val="clear" w:color="auto" w:fill="D9D9D9"/>
          </w:tcPr>
          <w:p>
            <w:r/>
            <w:r>
              <w:rPr>
                <w:rFonts w:ascii="Times New Roman" w:hAnsi="Times New Roman"/>
                <w:b/>
                <w:sz w:val="18"/>
              </w:rPr>
              <w:t>Dimensiones</w:t>
            </w:r>
          </w:p>
        </w:tc>
        <w:tc>
          <w:tcPr>
            <w:tcW w:type="dxa" w:w="1520"/>
            <w:shd w:val="clear" w:color="auto" w:fill="D9D9D9"/>
          </w:tcPr>
          <w:p>
            <w:r/>
            <w:r>
              <w:rPr>
                <w:rFonts w:ascii="Times New Roman" w:hAnsi="Times New Roman"/>
                <w:b/>
                <w:sz w:val="18"/>
              </w:rPr>
              <w:t>Indicadores</w:t>
            </w:r>
          </w:p>
        </w:tc>
        <w:tc>
          <w:tcPr>
            <w:tcW w:type="dxa" w:w="1520"/>
            <w:shd w:val="clear" w:color="auto" w:fill="D9D9D9"/>
          </w:tcPr>
          <w:p>
            <w:r/>
            <w:r>
              <w:rPr>
                <w:rFonts w:ascii="Times New Roman" w:hAnsi="Times New Roman"/>
                <w:b/>
                <w:sz w:val="18"/>
              </w:rPr>
              <w:t>Escala / Instrumento</w:t>
            </w:r>
          </w:p>
        </w:tc>
      </w:tr>
      <w:tr>
        <w:tc>
          <w:tcPr>
            <w:tcW w:type="dxa" w:w="1520"/>
          </w:tcPr>
          <w:p>
            <w:r/>
            <w:r>
              <w:rPr>
                <w:rFonts w:ascii="Times New Roman" w:hAnsi="Times New Roman"/>
                <w:sz w:val="17"/>
              </w:rPr>
              <w:t>Variable Independiente (VI): Sistema integral basado en Deep Learning</w:t>
            </w:r>
          </w:p>
        </w:tc>
        <w:tc>
          <w:tcPr>
            <w:tcW w:type="dxa" w:w="1520"/>
          </w:tcPr>
          <w:p>
            <w:r/>
            <w:r>
              <w:rPr>
                <w:rFonts w:ascii="Times New Roman" w:hAnsi="Times New Roman"/>
                <w:sz w:val="17"/>
              </w:rPr>
              <w:t>Sistema inteligente que integra modelos de aprendizaje profundo, procesamiento de datos visuales e inferencia automática para aprender patrones espacio-temporales de la LSP y generar predicciones automáticas de traducción a texto castellano.</w:t>
            </w:r>
          </w:p>
        </w:tc>
        <w:tc>
          <w:tcPr>
            <w:tcW w:type="dxa" w:w="1520"/>
          </w:tcPr>
          <w:p>
            <w:r/>
            <w:r>
              <w:rPr>
                <w:rFonts w:ascii="Times New Roman" w:hAnsi="Times New Roman"/>
                <w:sz w:val="17"/>
              </w:rPr>
              <w:t>Se implementa mediante un sistema basado en Deep Learning entrenado con datos de LSP, incorporando etapas de extracción de características, entrenamiento, validación e inferencia.</w:t>
            </w:r>
          </w:p>
        </w:tc>
        <w:tc>
          <w:tcPr>
            <w:tcW w:type="dxa" w:w="1520"/>
          </w:tcPr>
          <w:p>
            <w:r/>
            <w:r>
              <w:rPr>
                <w:rFonts w:ascii="Times New Roman" w:hAnsi="Times New Roman"/>
                <w:sz w:val="17"/>
              </w:rPr>
              <w:t>Arquitectura del modelo</w:t>
            </w:r>
          </w:p>
        </w:tc>
        <w:tc>
          <w:tcPr>
            <w:tcW w:type="dxa" w:w="1520"/>
          </w:tcPr>
          <w:p>
            <w:r/>
            <w:r>
              <w:rPr>
                <w:rFonts w:ascii="Times New Roman" w:hAnsi="Times New Roman"/>
                <w:sz w:val="17"/>
              </w:rPr>
              <w:t>Tipo de arquitectura, capas, parámetros entrenables, mecanismo de atención</w:t>
            </w:r>
          </w:p>
        </w:tc>
        <w:tc>
          <w:tcPr>
            <w:tcW w:type="dxa" w:w="1520"/>
          </w:tcPr>
          <w:p>
            <w:r/>
            <w:r>
              <w:rPr>
                <w:rFonts w:ascii="Times New Roman" w:hAnsi="Times New Roman"/>
                <w:sz w:val="17"/>
              </w:rPr>
              <w:t>Nominal/Razón — ficha técnica y código fuente</w:t>
            </w:r>
          </w:p>
        </w:tc>
      </w:tr>
      <w:tr>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t>Proceso de entrenamiento</w:t>
            </w:r>
          </w:p>
        </w:tc>
        <w:tc>
          <w:tcPr>
            <w:tcW w:type="dxa" w:w="1520"/>
          </w:tcPr>
          <w:p>
            <w:r/>
            <w:r>
              <w:rPr>
                <w:rFonts w:ascii="Times New Roman" w:hAnsi="Times New Roman"/>
                <w:sz w:val="17"/>
              </w:rPr>
              <w:t>Épocas, función de pérdida, optimizador, tasa de aprendizaje</w:t>
            </w:r>
          </w:p>
        </w:tc>
        <w:tc>
          <w:tcPr>
            <w:tcW w:type="dxa" w:w="1520"/>
          </w:tcPr>
          <w:p>
            <w:r/>
            <w:r>
              <w:rPr>
                <w:rFonts w:ascii="Times New Roman" w:hAnsi="Times New Roman"/>
                <w:sz w:val="17"/>
              </w:rPr>
              <w:t>Razón — historial de entrenamiento</w:t>
            </w:r>
          </w:p>
        </w:tc>
      </w:tr>
      <w:tr>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t>Proceso de inferencia</w:t>
            </w:r>
          </w:p>
        </w:tc>
        <w:tc>
          <w:tcPr>
            <w:tcW w:type="dxa" w:w="1520"/>
          </w:tcPr>
          <w:p>
            <w:r/>
            <w:r>
              <w:rPr>
                <w:rFonts w:ascii="Times New Roman" w:hAnsi="Times New Roman"/>
                <w:sz w:val="17"/>
              </w:rPr>
              <w:t>Tiempo de inferencia, latencia, rendimiento computacional</w:t>
            </w:r>
          </w:p>
        </w:tc>
        <w:tc>
          <w:tcPr>
            <w:tcW w:type="dxa" w:w="1520"/>
          </w:tcPr>
          <w:p>
            <w:r/>
            <w:r>
              <w:rPr>
                <w:rFonts w:ascii="Times New Roman" w:hAnsi="Times New Roman"/>
                <w:sz w:val="17"/>
              </w:rPr>
              <w:t>Razón (ms) — benchmark de rendimiento</w:t>
            </w:r>
          </w:p>
        </w:tc>
      </w:tr>
      <w:tr>
        <w:tc>
          <w:tcPr>
            <w:tcW w:type="dxa" w:w="1520"/>
          </w:tcPr>
          <w:p>
            <w:r/>
            <w:r>
              <w:rPr>
                <w:rFonts w:ascii="Times New Roman" w:hAnsi="Times New Roman"/>
                <w:sz w:val="17"/>
              </w:rPr>
              <w:t>Variable Dependiente (VD): Traducción automática de la LSP a texto castellano</w:t>
            </w:r>
          </w:p>
        </w:tc>
        <w:tc>
          <w:tcPr>
            <w:tcW w:type="dxa" w:w="1520"/>
          </w:tcPr>
          <w:p>
            <w:r/>
            <w:r>
              <w:rPr>
                <w:rFonts w:ascii="Times New Roman" w:hAnsi="Times New Roman"/>
                <w:sz w:val="17"/>
              </w:rPr>
              <w:t>Capacidad de un sistema inteligente para interpretar secuencias de LSP y generar automáticamente una representación textual en castellano con precisión, rapidez y capacidad de adaptación.</w:t>
            </w:r>
          </w:p>
        </w:tc>
        <w:tc>
          <w:tcPr>
            <w:tcW w:type="dxa" w:w="1520"/>
          </w:tcPr>
          <w:p>
            <w:r/>
            <w:r>
              <w:rPr>
                <w:rFonts w:ascii="Times New Roman" w:hAnsi="Times New Roman"/>
                <w:sz w:val="17"/>
              </w:rPr>
              <w:t>Se evalúa mediante el desempeño del modelo en la generación automática de texto castellano a partir de secuencias de señas, con métricas de aprendizaje automático y pruebas de robustez.</w:t>
            </w:r>
          </w:p>
        </w:tc>
        <w:tc>
          <w:tcPr>
            <w:tcW w:type="dxa" w:w="1520"/>
          </w:tcPr>
          <w:p>
            <w:r/>
            <w:r>
              <w:rPr>
                <w:rFonts w:ascii="Times New Roman" w:hAnsi="Times New Roman"/>
                <w:sz w:val="17"/>
              </w:rPr>
              <w:t>Desempeño predictivo</w:t>
            </w:r>
          </w:p>
        </w:tc>
        <w:tc>
          <w:tcPr>
            <w:tcW w:type="dxa" w:w="1520"/>
          </w:tcPr>
          <w:p>
            <w:r/>
            <w:r>
              <w:rPr>
                <w:rFonts w:ascii="Times New Roman" w:hAnsi="Times New Roman"/>
                <w:sz w:val="17"/>
              </w:rPr>
              <w:t>F1-score, Accuracy, Precisión, Recall, matriz de confusión</w:t>
            </w:r>
          </w:p>
        </w:tc>
        <w:tc>
          <w:tcPr>
            <w:tcW w:type="dxa" w:w="1520"/>
          </w:tcPr>
          <w:p>
            <w:r/>
            <w:r>
              <w:rPr>
                <w:rFonts w:ascii="Times New Roman" w:hAnsi="Times New Roman"/>
                <w:sz w:val="17"/>
              </w:rPr>
              <w:t>Razón (%) — dataset de prueba y métricas del modelo</w:t>
            </w:r>
          </w:p>
        </w:tc>
      </w:tr>
      <w:tr>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t>Eficiencia en tiempo real</w:t>
            </w:r>
          </w:p>
        </w:tc>
        <w:tc>
          <w:tcPr>
            <w:tcW w:type="dxa" w:w="1520"/>
          </w:tcPr>
          <w:p>
            <w:r/>
            <w:r>
              <w:rPr>
                <w:rFonts w:ascii="Times New Roman" w:hAnsi="Times New Roman"/>
                <w:sz w:val="17"/>
              </w:rPr>
              <w:t>Latencia de respuesta, tiempo total de inferencia, FPS</w:t>
            </w:r>
          </w:p>
        </w:tc>
        <w:tc>
          <w:tcPr>
            <w:tcW w:type="dxa" w:w="1520"/>
          </w:tcPr>
          <w:p>
            <w:r/>
            <w:r>
              <w:rPr>
                <w:rFonts w:ascii="Times New Roman" w:hAnsi="Times New Roman"/>
                <w:sz w:val="17"/>
              </w:rPr>
              <w:t>Razón (ms, fps) — benchmark del sistema</w:t>
            </w:r>
          </w:p>
        </w:tc>
      </w:tr>
      <w:tr>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r>
          </w:p>
        </w:tc>
        <w:tc>
          <w:tcPr>
            <w:tcW w:type="dxa" w:w="1520"/>
          </w:tcPr>
          <w:p>
            <w:r/>
            <w:r>
              <w:rPr>
                <w:rFonts w:ascii="Times New Roman" w:hAnsi="Times New Roman"/>
                <w:sz w:val="17"/>
              </w:rPr>
              <w:t>Capacidad de generalización</w:t>
            </w:r>
          </w:p>
        </w:tc>
        <w:tc>
          <w:tcPr>
            <w:tcW w:type="dxa" w:w="1520"/>
          </w:tcPr>
          <w:p>
            <w:r/>
            <w:r>
              <w:rPr>
                <w:rFonts w:ascii="Times New Roman" w:hAnsi="Times New Roman"/>
                <w:sz w:val="17"/>
              </w:rPr>
              <w:t>Variación del desempeño ante usuarios/datos no observados (ΔF1, PSI, KS)</w:t>
            </w:r>
          </w:p>
        </w:tc>
        <w:tc>
          <w:tcPr>
            <w:tcW w:type="dxa" w:w="1520"/>
          </w:tcPr>
          <w:p>
            <w:r/>
            <w:r>
              <w:rPr>
                <w:rFonts w:ascii="Times New Roman" w:hAnsi="Times New Roman"/>
                <w:sz w:val="17"/>
              </w:rPr>
              <w:t>Razón (%) — dataset externo, pruebas estadísticas</w:t>
            </w:r>
          </w:p>
        </w:tc>
      </w:tr>
    </w:tbl>
    <w:p>
      <w:r>
        <w:br w:type="page"/>
      </w:r>
    </w:p>
    <w:p>
      <w:pPr>
        <w:pStyle w:val="Heading2"/>
      </w:pPr>
      <w:r>
        <w:t>Anexo B. Métricas Detalladas por Clase</w:t>
      </w:r>
    </w:p>
    <w:p>
      <w:pPr>
        <w:spacing w:after="120"/>
        <w:ind w:firstLine="709"/>
      </w:pPr>
      <w:r>
        <w:rPr>
          <w:rFonts w:ascii="Times New Roman" w:hAnsi="Times New Roman"/>
          <w:b w:val="0"/>
          <w:i w:val="0"/>
          <w:sz w:val="24"/>
        </w:rPr>
        <w:t>Las métricas de F1-score por cada una de las 96 clases del vocabulario LSP fueron recomputadas en vivo reproduciendo el split de test determinista (mismo utilizado en el entrenamiento de v4). Las Figuras 21 y 22 presentan la matriz de confusión completa y el detalle de las 15 mejores y 15 peores clases por F1 — ambas generadas a partir de inferencia real del checkpoint checkpoints/bilstm_s27.onnx, no de datos ilustrativos.</w:t>
      </w:r>
    </w:p>
    <w:p>
      <w:pPr>
        <w:spacing w:before="240" w:after="40"/>
        <w:jc w:val="center"/>
      </w:pPr>
      <w:r>
        <w:rPr>
          <w:rFonts w:ascii="Times New Roman" w:hAnsi="Times New Roman"/>
          <w:b/>
          <w:sz w:val="24"/>
        </w:rPr>
        <w:t>Figura 21</w:t>
      </w:r>
    </w:p>
    <w:p>
      <w:pPr>
        <w:spacing w:after="160"/>
        <w:jc w:val="center"/>
      </w:pPr>
      <w:r>
        <w:rPr>
          <w:rFonts w:ascii="Times New Roman" w:hAnsi="Times New Roman"/>
          <w:i/>
          <w:sz w:val="24"/>
        </w:rPr>
        <w:t>Matriz de confusión normalizada — 96 clases (test holdout real, N=1823)</w:t>
      </w:r>
    </w:p>
    <w:p>
      <w:pPr>
        <w:jc w:val="center"/>
      </w:pPr>
      <w:r>
        <w:drawing>
          <wp:inline xmlns:a="http://schemas.openxmlformats.org/drawingml/2006/main" xmlns:pic="http://schemas.openxmlformats.org/drawingml/2006/picture">
            <wp:extent cx="5029200" cy="4470400"/>
            <wp:docPr id="24" name="Picture 24"/>
            <wp:cNvGraphicFramePr>
              <a:graphicFrameLocks noChangeAspect="1"/>
            </wp:cNvGraphicFramePr>
            <a:graphic>
              <a:graphicData uri="http://schemas.openxmlformats.org/drawingml/2006/picture">
                <pic:pic>
                  <pic:nvPicPr>
                    <pic:cNvPr id="0" name="fig_matriz_confusion.png"/>
                    <pic:cNvPicPr/>
                  </pic:nvPicPr>
                  <pic:blipFill>
                    <a:blip r:embed="rId29"/>
                    <a:stretch>
                      <a:fillRect/>
                    </a:stretch>
                  </pic:blipFill>
                  <pic:spPr>
                    <a:xfrm>
                      <a:off x="0" y="0"/>
                      <a:ext cx="5029200" cy="447040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La diagonal dominante confirma que el modelo aprendió estructura de clase real. La banda vertical cerca del índice 74 corresponde a clases HISTORIAS_VINETAS_* (narrativas largas, mayor variabilidad intraclase) atrayendo predicciones incorrectas de otras clases.</w:t>
      </w:r>
    </w:p>
    <w:p>
      <w:pPr>
        <w:spacing w:before="240" w:after="40"/>
        <w:jc w:val="center"/>
      </w:pPr>
      <w:r>
        <w:rPr>
          <w:rFonts w:ascii="Times New Roman" w:hAnsi="Times New Roman"/>
          <w:b/>
          <w:sz w:val="24"/>
        </w:rPr>
        <w:t>Figura 22</w:t>
      </w:r>
    </w:p>
    <w:p>
      <w:pPr>
        <w:spacing w:after="160"/>
        <w:jc w:val="center"/>
      </w:pPr>
      <w:r>
        <w:rPr>
          <w:rFonts w:ascii="Times New Roman" w:hAnsi="Times New Roman"/>
          <w:i/>
          <w:sz w:val="24"/>
        </w:rPr>
        <w:t>Mejores y peores 15 clases por F1-score (test holdout real)</w:t>
      </w:r>
    </w:p>
    <w:p>
      <w:pPr>
        <w:jc w:val="center"/>
      </w:pPr>
      <w:r>
        <w:drawing>
          <wp:inline xmlns:a="http://schemas.openxmlformats.org/drawingml/2006/main" xmlns:pic="http://schemas.openxmlformats.org/drawingml/2006/picture">
            <wp:extent cx="5669280" cy="2834640"/>
            <wp:docPr id="25" name="Picture 25"/>
            <wp:cNvGraphicFramePr>
              <a:graphicFrameLocks noChangeAspect="1"/>
            </wp:cNvGraphicFramePr>
            <a:graphic>
              <a:graphicData uri="http://schemas.openxmlformats.org/drawingml/2006/picture">
                <pic:pic>
                  <pic:nvPicPr>
                    <pic:cNvPr id="0" name="fig_f1_por_clase.png"/>
                    <pic:cNvPicPr/>
                  </pic:nvPicPr>
                  <pic:blipFill>
                    <a:blip r:embed="rId30"/>
                    <a:stretch>
                      <a:fillRect/>
                    </a:stretch>
                  </pic:blipFill>
                  <pic:spPr>
                    <a:xfrm>
                      <a:off x="0" y="0"/>
                      <a:ext cx="5669280" cy="283464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Las mejores 15 clases son mayormente letras del abecedario con seña muy distintiva (W, F, U, I, D — F1 &gt; 0.85). Las peores incluyen clases con muy pocas muestras de entrenamiento (ORIGINAL) y vocabulario abstracto (PENSAR, NO, VER, QUÉ). La tabla completa de precisión/recall/F1 por las 96 clases (classification_report de scikit-learn) está disponible en logs/runs.csv del repositorio del proyecto.</w:t>
      </w:r>
    </w:p>
    <w:p>
      <w:pPr>
        <w:pStyle w:val="Heading2"/>
      </w:pPr>
      <w:r>
        <w:t>Anexo C. Informe Completo de Resultados y Plan de Despliegue</w:t>
      </w:r>
    </w:p>
    <w:p>
      <w:pPr>
        <w:spacing w:after="120"/>
        <w:ind w:firstLine="709"/>
      </w:pPr>
      <w:r>
        <w:rPr>
          <w:rFonts w:ascii="Times New Roman" w:hAnsi="Times New Roman"/>
          <w:b w:val="0"/>
          <w:i w:val="0"/>
          <w:sz w:val="24"/>
        </w:rPr>
        <w:t>Este anexo consolida, de forma autocontenida y actualizada con los resultados finales de la sesión de mejora de objetivos, el informe técnico completo del sistema — arquitectura, contratos, reproducibilidad, validación, seguridad, hoja de ruta, riesgos, comparativo baseline vs. actual, latencia y evidencia. El detalle extendido de cada punto, con la trayectoria histórica completa sprint a sprint, se documenta en ENTREGABLE_PLAN_DE_DESPLIEGUE_S13.docx, adjunto a la presente tesis.</w:t>
      </w:r>
    </w:p>
    <w:p>
      <w:pPr>
        <w:pStyle w:val="Heading3"/>
      </w:pPr>
      <w:r>
        <w:t>C.1 Resumen ejecutivo</w:t>
      </w:r>
    </w:p>
    <w:p>
      <w:pPr>
        <w:spacing w:after="120"/>
        <w:ind w:firstLine="709"/>
      </w:pPr>
      <w:r>
        <w:rPr>
          <w:rFonts w:ascii="Times New Roman" w:hAnsi="Times New Roman"/>
          <w:b w:val="0"/>
          <w:i w:val="0"/>
          <w:sz w:val="24"/>
        </w:rPr>
        <w:t>El sistema traduce en tiempo real señas aisladas de un vocabulario de 96 clases LSP a texto en castellano, con latencia end-to-end de p50=54.7 ms / p95=58.7 ms (umbral objetivo: 200 ms, margen 2.7×). El modelo activo en producción es un ensemble de dos checkpoints BiLSTM (v4+S29, F1=0.4424), con generalización validada (ΔF1=0.0406, PSI=0.0288, ambos con margen amplio). Tras agotar arquitectura (ST-GCN), transferencia de aprendizaje y ensembles adicionales, el mejor resultado real sobre el vocabulario completo es F1=0.4795 — no alcanza la meta declarada de 0.70, brecha atribuida al volumen de muestras por clase (~44 en promedio), no a la arquitectura. En un alcance acotado (24 letras del abecedario), un modelo dedicado sí cruza la meta (F1=0.9308). La línea de narración continua, iniciada desde cero en esta fase del proyecto, redujo el WER de 2.827 a 0.970 (mejor benchmark oficial) mediante seis corridas sucesivas de mejora honesta y medida. Existen tres superficies funcionales validadas con datos reales: demo interactiva (cámara + video + imagen + TTS, con interfaz unificada entre las tres modalidades), backend API con WebSocket, y despliegue público en HuggingFace Spaces. El sistema no está listo para producción sin trabajo adicional: falta build de Docker verificado y campaña de ampliación de corpus con más señantes.</w:t>
      </w:r>
    </w:p>
    <w:p>
      <w:pPr>
        <w:pStyle w:val="Heading3"/>
      </w:pPr>
      <w:r>
        <w:t>C.2 Arquitectura candidata</w:t>
      </w:r>
    </w:p>
    <w:p>
      <w:pPr>
        <w:spacing w:after="120"/>
        <w:ind w:firstLine="709"/>
      </w:pPr>
      <w:r>
        <w:rPr>
          <w:rFonts w:ascii="Times New Roman" w:hAnsi="Times New Roman"/>
          <w:b w:val="0"/>
          <w:i w:val="0"/>
          <w:sz w:val="24"/>
        </w:rPr>
        <w:t>Ver Figura 2 (§3.3) para el diagrama completo del pipeline: Cliente → captura de frame → api/main.py (FastAPI + WebSocket) → MediaPipe Holistic (75 landmarks) → src/features/landmarks.py (normalización) → ONNXPredictor (ensemble v4+S29) → Cliente. El costo dominante es MediaPipe Holistic (~55 ms/frame); la inferencia ONNX consume &lt; 1 ms.</w:t>
      </w:r>
    </w:p>
    <w:p>
      <w:pPr>
        <w:pStyle w:val="Heading3"/>
      </w:pPr>
      <w:r>
        <w:t>C.3 Contratos I/O</w:t>
      </w:r>
    </w:p>
    <w:p>
      <w:pPr>
        <w:spacing w:after="120"/>
        <w:ind w:firstLine="709"/>
      </w:pPr>
      <w:r>
        <w:rPr>
          <w:rFonts w:ascii="Times New Roman" w:hAnsi="Times New Roman"/>
          <w:b w:val="0"/>
          <w:i w:val="0"/>
          <w:sz w:val="24"/>
        </w:rPr>
        <w:t>Esquemas verificados en vivo contra el servidor real (ver Figura 5, §3.5.3): GET /health devuelve {status, model_ready, device, n_classes}; GET /classes devuelve la lista completa de 96 etiquetas; POST /predict/video recibe multipart/form-data y devuelve {clase, texto_castellano, confidence, latency_ms, top3}; el WebSocket /predict/stream recibe {frame: base64, include_landmarks} y responde con el resultado de clasificación, un estado "buffering" mientras acumula frames, o un error.</w:t>
      </w:r>
    </w:p>
    <w:p>
      <w:pPr>
        <w:pStyle w:val="Heading3"/>
      </w:pPr>
      <w:r>
        <w:t>C.4 Reproducibilidad</w:t>
      </w:r>
    </w:p>
    <w:p>
      <w:pPr>
        <w:spacing w:after="120"/>
        <w:ind w:firstLine="709"/>
      </w:pPr>
      <w:r>
        <w:rPr>
          <w:rFonts w:ascii="Times New Roman" w:hAnsi="Times New Roman"/>
          <w:b w:val="0"/>
          <w:i w:val="0"/>
          <w:sz w:val="24"/>
        </w:rPr>
        <w:t>Entorno: .venv310 (Python 3.10.20, PyTorch, Optuna, ONNX Runtime) para entrenamiento e inferencia; .venv311 (Python 3.11.15, MediaPipe, Gradio) para la demo. Semilla SEED=42 en todos los splits del proyecto (StratifiedShuffleSplit, GroupShuffleSplit, StratifiedKFold). Lockfile requirements.lock.txt con 198 paquetes a versión exacta (pip freeze sobre .venv310 real). Makefile con targets install/run-demo/run-api/health/test-video/test/docker-build/docker-run. Suite de tests: 6/6 pasan con .venv310/bin/python -m pytest tests/ -v.</w:t>
      </w:r>
    </w:p>
    <w:p>
      <w:pPr>
        <w:pStyle w:val="Heading3"/>
      </w:pPr>
      <w:r>
        <w:t>C.5 E2E en limpio</w:t>
      </w:r>
    </w:p>
    <w:p>
      <w:pPr>
        <w:spacing w:after="120"/>
        <w:ind w:firstLine="709"/>
      </w:pPr>
      <w:r>
        <w:rPr>
          <w:rFonts w:ascii="Times New Roman" w:hAnsi="Times New Roman"/>
          <w:b w:val="0"/>
          <w:i w:val="0"/>
          <w:sz w:val="24"/>
        </w:rPr>
        <w:t>Pasos verificados: (1) instalar entorno con Makefile; (2) copiar checkpoint ONNX activo (no versionado en git, ver Riesgo R1); (3) levantar backend con uvicorn api.main:app; (4) verificar salud con GET /health, éxito esperado {"status":"ok","model_ready":true,"n_classes":96}; (5) probar con dato de ejemplo real del repo (make test-video, usando data/videos/original/Historias vinetas (11).mp4), éxito esperado: JSON con "clase" dentro de las 96 etiquetas.</w:t>
      </w:r>
    </w:p>
    <w:p>
      <w:pPr>
        <w:pStyle w:val="Heading3"/>
      </w:pPr>
      <w:r>
        <w:t>C.6 Observabilidad</w:t>
      </w:r>
    </w:p>
    <w:p>
      <w:pPr>
        <w:spacing w:after="120"/>
        <w:ind w:firstLine="709"/>
      </w:pPr>
      <w:r>
        <w:rPr>
          <w:rFonts w:ascii="Times New Roman" w:hAnsi="Times New Roman"/>
          <w:b w:val="0"/>
          <w:i w:val="0"/>
          <w:sz w:val="24"/>
        </w:rPr>
        <w:t>Historial de experimentos completo en logs/runs.csv (41+ sprints registrados, incluidos los de esta sesión: S39, S40, S41). Logging actual basado en print() — reemplazarlo por logging estructurado sigue pendiente (Tabla 6, prioridad mediana). Métricas de latencia agregadas en producción: pendiente de implementar (no hay dashboard ni alertas todavía).</w:t>
      </w:r>
    </w:p>
    <w:p>
      <w:pPr>
        <w:pStyle w:val="Heading3"/>
      </w:pPr>
      <w:r>
        <w:t>C.7 Validación &amp; tests</w:t>
      </w:r>
    </w:p>
    <w:p>
      <w:pPr>
        <w:spacing w:after="120"/>
        <w:ind w:firstLine="709"/>
      </w:pPr>
      <w:r>
        <w:rPr>
          <w:rFonts w:ascii="Times New Roman" w:hAnsi="Times New Roman"/>
          <w:b w:val="0"/>
          <w:i w:val="0"/>
          <w:sz w:val="24"/>
        </w:rPr>
        <w:t>tests/ contiene smoke tests (servidor arranca, /health responde), golden tests (clips de referencia con clase esperada) y contrato del WebSocket. 6/6 pasan de forma consistente. Los checkpoints de investigación de esta sesión (S39, S40, S41) se validaron con el mismo criterio de rigor: mismo split de test que v4, sin fuga de datos (verificado explícitamente, y descartado un ensemble de 3 vías al detectarse fuga con S29).</w:t>
      </w:r>
    </w:p>
    <w:p>
      <w:pPr>
        <w:pStyle w:val="Heading3"/>
      </w:pPr>
      <w:r>
        <w:t>C.8 Seguridad &amp; config</w:t>
      </w:r>
    </w:p>
    <w:p>
      <w:pPr>
        <w:spacing w:after="120"/>
        <w:ind w:firstLine="709"/>
      </w:pPr>
      <w:r>
        <w:rPr>
          <w:rFonts w:ascii="Times New Roman" w:hAnsi="Times New Roman"/>
          <w:b w:val="0"/>
          <w:i w:val="0"/>
          <w:sz w:val="24"/>
        </w:rPr>
        <w:t>CORS restringido a orígenes localhost conocidos (Riesgo R7, resuelto — antes abierto a cualquier origen). Límite de tamaño en UploadFile pendiente de verificar. Umbral de confianza configurable (CONFIG["confidence_threshold"]=0.20, calibrado con ejemplos reales, R4 resuelto). No hay .env con secretos — el sistema no requiere credenciales externas.</w:t>
      </w:r>
    </w:p>
    <w:p>
      <w:pPr>
        <w:pStyle w:val="Heading3"/>
      </w:pPr>
      <w:r>
        <w:t>C.9 Hoja de ruta a Docker/API</w:t>
      </w:r>
    </w:p>
    <w:p>
      <w:pPr>
        <w:spacing w:after="120"/>
        <w:ind w:firstLine="709"/>
      </w:pPr>
      <w:r>
        <w:rPr>
          <w:rFonts w:ascii="Times New Roman" w:hAnsi="Times New Roman"/>
          <w:b w:val="0"/>
          <w:i w:val="0"/>
          <w:sz w:val="24"/>
        </w:rPr>
        <w:t>Ver Tabla 6 (§3.5.5) para el detalle completo por prioridad y fecha objetivo. Estado actualizado: Riesgo R9 (divergencia demo/API) resuelto (2026-07-18); build de Docker real sigue bloqueado por falta de entorno con Docker disponible; versionado del checkpoint ONNX fuera de .gitignore sigue pendiente.</w:t>
      </w:r>
    </w:p>
    <w:p>
      <w:pPr>
        <w:pStyle w:val="Heading3"/>
      </w:pPr>
      <w:r>
        <w:t>C.10 Riesgos &amp; mitigaciones</w:t>
      </w:r>
    </w:p>
    <w:p>
      <w:pPr>
        <w:spacing w:after="120"/>
        <w:ind w:firstLine="709"/>
      </w:pPr>
      <w:r>
        <w:rPr>
          <w:rFonts w:ascii="Times New Roman" w:hAnsi="Times New Roman"/>
          <w:b w:val="0"/>
          <w:i w:val="0"/>
          <w:sz w:val="24"/>
        </w:rPr>
        <w:t>Ver Tabla 5 (§3.5.4) para los 10 riesgos originales verificados empíricamente. Riesgos adicionales identificados en esta sesión: sesgo de dominio del abecedario en cámara/video (R13, mitigado con histéresis temporal, §4.4); divergencia de pipeline entre la evaluación de WER (landmarks precomputados) y el código real de la demo (hallazgo metodológico, documentado pero no corregido); fuga de datos al comparar checkpoints entrenados sobre datasets distintos sin holdout limpio compartido (detectada y evitada, no un incidente). Estrategia de rollback: cada checkpoint nuevo se guarda con nombre de sprint distinto (nunca sobrescribe al anterior); revertir a producción significa simplemente seguir sirviendo bilstm_s27.onnx + bilstm_s29.onnx, que nunca se modificaron.</w:t>
      </w:r>
    </w:p>
    <w:p>
      <w:pPr>
        <w:pStyle w:val="Heading3"/>
      </w:pPr>
      <w:r>
        <w:t>C.11 Comparativo baseline vs. actual</w:t>
      </w:r>
    </w:p>
    <w:p>
      <w:pPr>
        <w:spacing w:before="200" w:after="40"/>
      </w:pPr>
      <w:r>
        <w:rPr>
          <w:rFonts w:ascii="Times New Roman" w:hAnsi="Times New Roman"/>
          <w:b/>
          <w:sz w:val="24"/>
        </w:rPr>
        <w:t>Tabla 18</w:t>
      </w:r>
    </w:p>
    <w:p>
      <w:pPr>
        <w:spacing w:after="120"/>
      </w:pPr>
      <w:r>
        <w:rPr>
          <w:rFonts w:ascii="Times New Roman" w:hAnsi="Times New Roman"/>
          <w:i/>
          <w:sz w:val="24"/>
        </w:rPr>
        <w:t>Comparativo técnico baseline (Sprint 27) vs. estado actual</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val="clear" w:color="auto" w:fill="D9D9D9"/>
          </w:tcPr>
          <w:p>
            <w:r/>
            <w:r>
              <w:rPr>
                <w:rFonts w:ascii="Times New Roman" w:hAnsi="Times New Roman"/>
                <w:b/>
                <w:sz w:val="21"/>
              </w:rPr>
              <w:t>Métrica</w:t>
            </w:r>
          </w:p>
        </w:tc>
        <w:tc>
          <w:tcPr>
            <w:tcW w:type="dxa" w:w="3402"/>
            <w:shd w:val="clear" w:color="auto" w:fill="D9D9D9"/>
          </w:tcPr>
          <w:p>
            <w:r/>
            <w:r>
              <w:rPr>
                <w:rFonts w:ascii="Times New Roman" w:hAnsi="Times New Roman"/>
                <w:b/>
                <w:sz w:val="21"/>
              </w:rPr>
              <w:t>Baseline (v4 solo, S27)</w:t>
            </w:r>
          </w:p>
        </w:tc>
        <w:tc>
          <w:tcPr>
            <w:tcW w:type="dxa" w:w="4535"/>
            <w:shd w:val="clear" w:color="auto" w:fill="D9D9D9"/>
          </w:tcPr>
          <w:p>
            <w:r/>
            <w:r>
              <w:rPr>
                <w:rFonts w:ascii="Times New Roman" w:hAnsi="Times New Roman"/>
                <w:b/>
                <w:sz w:val="21"/>
              </w:rPr>
              <w:t>Estado actual</w:t>
            </w:r>
          </w:p>
        </w:tc>
      </w:tr>
      <w:tr>
        <w:tc>
          <w:tcPr>
            <w:tcW w:type="dxa" w:w="3402"/>
          </w:tcPr>
          <w:p>
            <w:r/>
            <w:r>
              <w:rPr>
                <w:rFonts w:ascii="Times New Roman" w:hAnsi="Times New Roman"/>
                <w:sz w:val="21"/>
              </w:rPr>
              <w:t>F1-macro (96 clases)</w:t>
            </w:r>
          </w:p>
        </w:tc>
        <w:tc>
          <w:tcPr>
            <w:tcW w:type="dxa" w:w="3402"/>
          </w:tcPr>
          <w:p>
            <w:r/>
            <w:r>
              <w:rPr>
                <w:rFonts w:ascii="Times New Roman" w:hAnsi="Times New Roman"/>
                <w:sz w:val="21"/>
              </w:rPr>
              <w:t>0.4426</w:t>
            </w:r>
          </w:p>
        </w:tc>
        <w:tc>
          <w:tcPr>
            <w:tcW w:type="dxa" w:w="4535"/>
          </w:tcPr>
          <w:p>
            <w:r/>
            <w:r>
              <w:rPr>
                <w:rFonts w:ascii="Times New Roman" w:hAnsi="Times New Roman"/>
                <w:sz w:val="21"/>
              </w:rPr>
              <w:t>0.4795 (ensemble v4+S40) / 0.4424 (producción v4+S29)</w:t>
            </w:r>
          </w:p>
        </w:tc>
      </w:tr>
      <w:tr>
        <w:tc>
          <w:tcPr>
            <w:tcW w:type="dxa" w:w="3402"/>
          </w:tcPr>
          <w:p>
            <w:r/>
            <w:r>
              <w:rPr>
                <w:rFonts w:ascii="Times New Roman" w:hAnsi="Times New Roman"/>
                <w:sz w:val="21"/>
              </w:rPr>
              <w:t>Generalización (HE3)</w:t>
            </w:r>
          </w:p>
        </w:tc>
        <w:tc>
          <w:tcPr>
            <w:tcW w:type="dxa" w:w="3402"/>
          </w:tcPr>
          <w:p>
            <w:r/>
            <w:r>
              <w:rPr>
                <w:rFonts w:ascii="Times New Roman" w:hAnsi="Times New Roman"/>
                <w:sz w:val="21"/>
              </w:rPr>
              <w:t>ΔF1=0.0406, KS falla (p=0.0011)</w:t>
            </w:r>
          </w:p>
        </w:tc>
        <w:tc>
          <w:tcPr>
            <w:tcW w:type="dxa" w:w="4535"/>
          </w:tcPr>
          <w:p>
            <w:r/>
            <w:r>
              <w:rPr>
                <w:rFonts w:ascii="Times New Roman" w:hAnsi="Times New Roman"/>
                <w:sz w:val="21"/>
              </w:rPr>
              <w:t>ΔF1=0.0406, KS confirmado como artefacto estadístico (bootstrap 89.4%)</w:t>
            </w:r>
          </w:p>
        </w:tc>
      </w:tr>
      <w:tr>
        <w:tc>
          <w:tcPr>
            <w:tcW w:type="dxa" w:w="3402"/>
          </w:tcPr>
          <w:p>
            <w:r/>
            <w:r>
              <w:rPr>
                <w:rFonts w:ascii="Times New Roman" w:hAnsi="Times New Roman"/>
                <w:sz w:val="21"/>
              </w:rPr>
              <w:t>Abecedario (alcance acotado)</w:t>
            </w:r>
          </w:p>
        </w:tc>
        <w:tc>
          <w:tcPr>
            <w:tcW w:type="dxa" w:w="3402"/>
          </w:tcPr>
          <w:p>
            <w:r/>
            <w:r>
              <w:rPr>
                <w:rFonts w:ascii="Times New Roman" w:hAnsi="Times New Roman"/>
                <w:sz w:val="21"/>
              </w:rPr>
              <w:t>No evaluado por separado</w:t>
            </w:r>
          </w:p>
        </w:tc>
        <w:tc>
          <w:tcPr>
            <w:tcW w:type="dxa" w:w="4535"/>
          </w:tcPr>
          <w:p>
            <w:r/>
            <w:r>
              <w:rPr>
                <w:rFonts w:ascii="Times New Roman" w:hAnsi="Times New Roman"/>
                <w:sz w:val="21"/>
              </w:rPr>
              <w:t>F1=0.9308 (24 clases)</w:t>
            </w:r>
          </w:p>
        </w:tc>
      </w:tr>
      <w:tr>
        <w:tc>
          <w:tcPr>
            <w:tcW w:type="dxa" w:w="3402"/>
          </w:tcPr>
          <w:p>
            <w:r/>
            <w:r>
              <w:rPr>
                <w:rFonts w:ascii="Times New Roman" w:hAnsi="Times New Roman"/>
                <w:sz w:val="21"/>
              </w:rPr>
              <w:t>Narración continua (WER)</w:t>
            </w:r>
          </w:p>
        </w:tc>
        <w:tc>
          <w:tcPr>
            <w:tcW w:type="dxa" w:w="3402"/>
          </w:tcPr>
          <w:p>
            <w:r/>
            <w:r>
              <w:rPr>
                <w:rFonts w:ascii="Times New Roman" w:hAnsi="Times New Roman"/>
                <w:sz w:val="21"/>
              </w:rPr>
              <w:t>No existía la línea</w:t>
            </w:r>
          </w:p>
        </w:tc>
        <w:tc>
          <w:tcPr>
            <w:tcW w:type="dxa" w:w="4535"/>
          </w:tcPr>
          <w:p>
            <w:r/>
            <w:r>
              <w:rPr>
                <w:rFonts w:ascii="Times New Roman" w:hAnsi="Times New Roman"/>
                <w:sz w:val="21"/>
              </w:rPr>
              <w:t>0.970 (mejor benchmark oficial)</w:t>
            </w:r>
          </w:p>
        </w:tc>
      </w:tr>
      <w:tr>
        <w:tc>
          <w:tcPr>
            <w:tcW w:type="dxa" w:w="3402"/>
          </w:tcPr>
          <w:p>
            <w:r/>
            <w:r>
              <w:rPr>
                <w:rFonts w:ascii="Times New Roman" w:hAnsi="Times New Roman"/>
                <w:sz w:val="21"/>
              </w:rPr>
              <w:t>Reconocimiento de abecedario en cámara/video</w:t>
            </w:r>
          </w:p>
        </w:tc>
        <w:tc>
          <w:tcPr>
            <w:tcW w:type="dxa" w:w="3402"/>
          </w:tcPr>
          <w:p>
            <w:r/>
            <w:r>
              <w:rPr>
                <w:rFonts w:ascii="Times New Roman" w:hAnsi="Times New Roman"/>
                <w:sz w:val="21"/>
              </w:rPr>
              <w:t>No funcional (0/6)</w:t>
            </w:r>
          </w:p>
        </w:tc>
        <w:tc>
          <w:tcPr>
            <w:tcW w:type="dxa" w:w="4535"/>
          </w:tcPr>
          <w:p>
            <w:r/>
            <w:r>
              <w:rPr>
                <w:rFonts w:ascii="Times New Roman" w:hAnsi="Times New Roman"/>
                <w:sz w:val="21"/>
              </w:rPr>
              <w:t>Funcional vía histéresis (validado)</w:t>
            </w:r>
          </w:p>
        </w:tc>
      </w:tr>
    </w:tbl>
    <w:p>
      <w:pPr>
        <w:spacing w:before="240" w:after="40"/>
        <w:jc w:val="center"/>
      </w:pPr>
      <w:r>
        <w:rPr>
          <w:rFonts w:ascii="Times New Roman" w:hAnsi="Times New Roman"/>
          <w:b/>
          <w:sz w:val="24"/>
        </w:rPr>
        <w:t>Figura 23</w:t>
      </w:r>
    </w:p>
    <w:p>
      <w:pPr>
        <w:spacing w:after="160"/>
        <w:jc w:val="center"/>
      </w:pPr>
      <w:r>
        <w:rPr>
          <w:rFonts w:ascii="Times New Roman" w:hAnsi="Times New Roman"/>
          <w:i/>
          <w:sz w:val="24"/>
        </w:rPr>
        <w:t>Comparativo técnico — baseline (Sprint 27) vs. estado actual</w:t>
      </w:r>
    </w:p>
    <w:p>
      <w:pPr>
        <w:jc w:val="center"/>
      </w:pPr>
      <w:r>
        <w:drawing>
          <wp:inline xmlns:a="http://schemas.openxmlformats.org/drawingml/2006/main" xmlns:pic="http://schemas.openxmlformats.org/drawingml/2006/picture">
            <wp:extent cx="5760720" cy="2317239"/>
            <wp:docPr id="26" name="Picture 26"/>
            <wp:cNvGraphicFramePr>
              <a:graphicFrameLocks noChangeAspect="1"/>
            </wp:cNvGraphicFramePr>
            <a:graphic>
              <a:graphicData uri="http://schemas.openxmlformats.org/drawingml/2006/picture">
                <pic:pic>
                  <pic:nvPicPr>
                    <pic:cNvPr id="0" name="fig_tabla17_comparativo.png"/>
                    <pic:cNvPicPr/>
                  </pic:nvPicPr>
                  <pic:blipFill>
                    <a:blip r:embed="rId31"/>
                    <a:stretch>
                      <a:fillRect/>
                    </a:stretch>
                  </pic:blipFill>
                  <pic:spPr>
                    <a:xfrm>
                      <a:off x="0" y="0"/>
                      <a:ext cx="5760720" cy="2317239"/>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Cada panel usa la dirección de mejora correcta para su métrica (F1: más alto es mejor; WER: más bajo es mejor) — no se combinan en un solo eje para evitar una lectura engañosa.</w:t>
      </w:r>
    </w:p>
    <w:p>
      <w:pPr>
        <w:spacing w:after="120"/>
        <w:ind w:firstLine="709"/>
      </w:pPr>
      <w:r>
        <w:rPr>
          <w:rFonts w:ascii="Times New Roman" w:hAnsi="Times New Roman"/>
          <w:b w:val="0"/>
          <w:i w:val="0"/>
          <w:sz w:val="24"/>
        </w:rPr>
        <w:t>Percepción del usuario (evidencia cualitativa, pruebas en vivo de esta sesión sobre la demo real): un video genuino de la seña «DOS» (en vocabulario) no fue reconocido en absoluto; un video de «CHAU» (fuera de vocabulario) se clasificó incorrectamente como «IGUAL»; videos narrativos largos detectan pocas señas y repiten «IGUAL» con frecuencia, un patrón ya documentado como comodín del modelo ante incertidumbre. La conclusión honesta es que, pese a las mejoras medidas, el sistema todavía no ofrece una experiencia de traducción confiable para un usuario final sin entrenamiento específico en el vocabulario exacto del modelo.</w:t>
      </w:r>
    </w:p>
    <w:p>
      <w:pPr>
        <w:pStyle w:val="Heading3"/>
      </w:pPr>
      <w:r>
        <w:t>C.12 Informe de latencia y optimizaciones probadas</w:t>
      </w:r>
    </w:p>
    <w:p>
      <w:pPr>
        <w:spacing w:before="200" w:after="40"/>
      </w:pPr>
      <w:r>
        <w:rPr>
          <w:rFonts w:ascii="Times New Roman" w:hAnsi="Times New Roman"/>
          <w:b/>
          <w:sz w:val="24"/>
        </w:rPr>
        <w:t>Tabla 19</w:t>
      </w:r>
    </w:p>
    <w:p>
      <w:pPr>
        <w:spacing w:after="120"/>
      </w:pPr>
      <w:r>
        <w:rPr>
          <w:rFonts w:ascii="Times New Roman" w:hAnsi="Times New Roman"/>
          <w:i/>
          <w:sz w:val="24"/>
        </w:rPr>
        <w:t>Latencia comparada de los checkpoints entrenados en esta sesión</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val="clear" w:color="auto" w:fill="D9D9D9"/>
          </w:tcPr>
          <w:p>
            <w:r/>
            <w:r>
              <w:rPr>
                <w:rFonts w:ascii="Times New Roman" w:hAnsi="Times New Roman"/>
                <w:b/>
                <w:sz w:val="21"/>
              </w:rPr>
              <w:t>Checkpoint</w:t>
            </w:r>
          </w:p>
        </w:tc>
        <w:tc>
          <w:tcPr>
            <w:tcW w:type="dxa" w:w="2835"/>
            <w:shd w:val="clear" w:color="auto" w:fill="D9D9D9"/>
          </w:tcPr>
          <w:p>
            <w:r/>
            <w:r>
              <w:rPr>
                <w:rFonts w:ascii="Times New Roman" w:hAnsi="Times New Roman"/>
                <w:b/>
                <w:sz w:val="21"/>
              </w:rPr>
              <w:t>Latencia ONNX (ms)</w:t>
            </w:r>
          </w:p>
        </w:tc>
        <w:tc>
          <w:tcPr>
            <w:tcW w:type="dxa" w:w="5102"/>
            <w:shd w:val="clear" w:color="auto" w:fill="D9D9D9"/>
          </w:tcPr>
          <w:p>
            <w:r/>
            <w:r>
              <w:rPr>
                <w:rFonts w:ascii="Times New Roman" w:hAnsi="Times New Roman"/>
                <w:b/>
                <w:sz w:val="21"/>
              </w:rPr>
              <w:t>Observación</w:t>
            </w:r>
          </w:p>
        </w:tc>
      </w:tr>
      <w:tr>
        <w:tc>
          <w:tcPr>
            <w:tcW w:type="dxa" w:w="3402"/>
          </w:tcPr>
          <w:p>
            <w:r/>
            <w:r>
              <w:rPr>
                <w:rFonts w:ascii="Times New Roman" w:hAnsi="Times New Roman"/>
                <w:sz w:val="21"/>
              </w:rPr>
              <w:t>bilstm_s27.onnx (v4)</w:t>
            </w:r>
          </w:p>
        </w:tc>
        <w:tc>
          <w:tcPr>
            <w:tcW w:type="dxa" w:w="2835"/>
          </w:tcPr>
          <w:p>
            <w:r/>
            <w:r>
              <w:rPr>
                <w:rFonts w:ascii="Times New Roman" w:hAnsi="Times New Roman"/>
                <w:sz w:val="21"/>
              </w:rPr>
              <w:t>&lt; 1</w:t>
            </w:r>
          </w:p>
        </w:tc>
        <w:tc>
          <w:tcPr>
            <w:tcW w:type="dxa" w:w="5102"/>
          </w:tcPr>
          <w:p>
            <w:r/>
            <w:r>
              <w:rPr>
                <w:rFonts w:ascii="Times New Roman" w:hAnsi="Times New Roman"/>
                <w:sz w:val="21"/>
              </w:rPr>
              <w:t>Producción</w:t>
            </w:r>
          </w:p>
        </w:tc>
      </w:tr>
      <w:tr>
        <w:tc>
          <w:tcPr>
            <w:tcW w:type="dxa" w:w="3402"/>
          </w:tcPr>
          <w:p>
            <w:r/>
            <w:r>
              <w:rPr>
                <w:rFonts w:ascii="Times New Roman" w:hAnsi="Times New Roman"/>
                <w:sz w:val="21"/>
              </w:rPr>
              <w:t>bilstm_s40_finetune.onnx</w:t>
            </w:r>
          </w:p>
        </w:tc>
        <w:tc>
          <w:tcPr>
            <w:tcW w:type="dxa" w:w="2835"/>
          </w:tcPr>
          <w:p>
            <w:r/>
            <w:r>
              <w:rPr>
                <w:rFonts w:ascii="Times New Roman" w:hAnsi="Times New Roman"/>
                <w:sz w:val="21"/>
              </w:rPr>
              <w:t>0.94</w:t>
            </w:r>
          </w:p>
        </w:tc>
        <w:tc>
          <w:tcPr>
            <w:tcW w:type="dxa" w:w="5102"/>
          </w:tcPr>
          <w:p>
            <w:r/>
            <w:r>
              <w:rPr>
                <w:rFonts w:ascii="Times New Roman" w:hAnsi="Times New Roman"/>
                <w:sz w:val="21"/>
              </w:rPr>
              <w:t>Igual de rápido que v4 (misma arquitectura)</w:t>
            </w:r>
          </w:p>
        </w:tc>
      </w:tr>
      <w:tr>
        <w:tc>
          <w:tcPr>
            <w:tcW w:type="dxa" w:w="3402"/>
          </w:tcPr>
          <w:p>
            <w:r/>
            <w:r>
              <w:rPr>
                <w:rFonts w:ascii="Times New Roman" w:hAnsi="Times New Roman"/>
                <w:sz w:val="21"/>
              </w:rPr>
              <w:t>bilstm_s41_swa.onnx</w:t>
            </w:r>
          </w:p>
        </w:tc>
        <w:tc>
          <w:tcPr>
            <w:tcW w:type="dxa" w:w="2835"/>
          </w:tcPr>
          <w:p>
            <w:r/>
            <w:r>
              <w:rPr>
                <w:rFonts w:ascii="Times New Roman" w:hAnsi="Times New Roman"/>
                <w:sz w:val="21"/>
              </w:rPr>
              <w:t>0.83</w:t>
            </w:r>
          </w:p>
        </w:tc>
        <w:tc>
          <w:tcPr>
            <w:tcW w:type="dxa" w:w="5102"/>
          </w:tcPr>
          <w:p>
            <w:r/>
            <w:r>
              <w:rPr>
                <w:rFonts w:ascii="Times New Roman" w:hAnsi="Times New Roman"/>
                <w:sz w:val="21"/>
              </w:rPr>
              <w:t>Igual de rápido que v4 (mismos pesos promediados)</w:t>
            </w:r>
          </w:p>
        </w:tc>
      </w:tr>
      <w:tr>
        <w:tc>
          <w:tcPr>
            <w:tcW w:type="dxa" w:w="3402"/>
          </w:tcPr>
          <w:p>
            <w:r/>
            <w:r>
              <w:rPr>
                <w:rFonts w:ascii="Times New Roman" w:hAnsi="Times New Roman"/>
                <w:sz w:val="21"/>
              </w:rPr>
              <w:t>stgcn_s39.onnx</w:t>
            </w:r>
          </w:p>
        </w:tc>
        <w:tc>
          <w:tcPr>
            <w:tcW w:type="dxa" w:w="2835"/>
          </w:tcPr>
          <w:p>
            <w:r/>
            <w:r>
              <w:rPr>
                <w:rFonts w:ascii="Times New Roman" w:hAnsi="Times New Roman"/>
                <w:sz w:val="21"/>
              </w:rPr>
              <w:t>19.45</w:t>
            </w:r>
          </w:p>
        </w:tc>
        <w:tc>
          <w:tcPr>
            <w:tcW w:type="dxa" w:w="5102"/>
          </w:tcPr>
          <w:p>
            <w:r/>
            <w:r>
              <w:rPr>
                <w:rFonts w:ascii="Times New Roman" w:hAnsi="Times New Roman"/>
                <w:sz w:val="21"/>
              </w:rPr>
              <w:t>20-30× más lento — arquitectura de grafo, descartada</w:t>
            </w:r>
          </w:p>
        </w:tc>
      </w:tr>
    </w:tbl>
    <w:p>
      <w:pPr>
        <w:spacing w:before="240" w:after="40"/>
        <w:jc w:val="center"/>
      </w:pPr>
      <w:r>
        <w:rPr>
          <w:rFonts w:ascii="Times New Roman" w:hAnsi="Times New Roman"/>
          <w:b/>
          <w:sz w:val="24"/>
        </w:rPr>
        <w:t>Figura 24</w:t>
      </w:r>
    </w:p>
    <w:p>
      <w:pPr>
        <w:spacing w:after="160"/>
        <w:jc w:val="center"/>
      </w:pPr>
      <w:r>
        <w:rPr>
          <w:rFonts w:ascii="Times New Roman" w:hAnsi="Times New Roman"/>
          <w:i/>
          <w:sz w:val="24"/>
        </w:rPr>
        <w:t>Latencia comparada — checkpoints entrenados en esta sesión</w:t>
      </w:r>
    </w:p>
    <w:p>
      <w:pPr>
        <w:jc w:val="center"/>
      </w:pPr>
      <w:r>
        <w:drawing>
          <wp:inline xmlns:a="http://schemas.openxmlformats.org/drawingml/2006/main" xmlns:pic="http://schemas.openxmlformats.org/drawingml/2006/picture">
            <wp:extent cx="5486400" cy="3352800"/>
            <wp:docPr id="27" name="Picture 27"/>
            <wp:cNvGraphicFramePr>
              <a:graphicFrameLocks noChangeAspect="1"/>
            </wp:cNvGraphicFramePr>
            <a:graphic>
              <a:graphicData uri="http://schemas.openxmlformats.org/drawingml/2006/picture">
                <pic:pic>
                  <pic:nvPicPr>
                    <pic:cNvPr id="0" name="fig_tabla18_latencia_checkpoints.png"/>
                    <pic:cNvPicPr/>
                  </pic:nvPicPr>
                  <pic:blipFill>
                    <a:blip r:embed="rId32"/>
                    <a:stretch>
                      <a:fillRect/>
                    </a:stretch>
                  </pic:blipFill>
                  <pic:spPr>
                    <a:xfrm>
                      <a:off x="0" y="0"/>
                      <a:ext cx="5486400" cy="335280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Los checkpoints con la misma arquitectura que v4 (S40, S41) heredan su latencia; solo el ST-GCN (arquitectura de grafo, ya descartada por su F1) tiene un costo de inferencia notablemente mayor, aunque de todas formas muy por debajo del umbral de 200 ms de OE2.</w:t>
      </w:r>
    </w:p>
    <w:p>
      <w:pPr>
        <w:spacing w:after="120"/>
        <w:ind w:firstLine="709"/>
      </w:pPr>
      <w:r>
        <w:rPr>
          <w:rFonts w:ascii="Times New Roman" w:hAnsi="Times New Roman"/>
          <w:b w:val="0"/>
          <w:i w:val="0"/>
          <w:sz w:val="24"/>
        </w:rPr>
        <w:t>Ninguna alternativa arquitectónica probada mejora la latencia de producción (ya muy por debajo del umbral); el ST-GCN, además de tener peor F1, tendría un costo de inferencia 20-30× mayor si se llegara a usar. Optimizaciones de MediaPipe ya probadas y descartadas: model_complexity=0 (Riesgo R6, degradó la detección de mano derecha de 3/10 a 1/10 frames, revertido); la única optimización de velocidad aceptada es el submuestreo de frames en video (frame_stride ≈ fps/10).</w:t>
      </w:r>
    </w:p>
    <w:p>
      <w:pPr>
        <w:pStyle w:val="Heading3"/>
      </w:pPr>
      <w:r>
        <w:t>C.13 Evidencia</w:t>
      </w:r>
    </w:p>
    <w:p>
      <w:pPr>
        <w:spacing w:after="120"/>
        <w:ind w:firstLine="709"/>
      </w:pPr>
      <w:r>
        <w:rPr>
          <w:rFonts w:ascii="Times New Roman" w:hAnsi="Times New Roman"/>
          <w:b w:val="0"/>
          <w:i w:val="0"/>
          <w:sz w:val="24"/>
        </w:rPr>
        <w:t>Scripts de esta sesión (reproducibles, en scripts/): build_dataset_s34_eaf.py, build_dataset_s35_merge.py, train_s35.py, train_s36.py, train_s38_curado.py, train_s39_stgcn.py, train_s40_finetune.py, train_s41_swa.py, medir_f1_subconjunto_curado.py, evaluar_wer_s35/s36/s37_ensemble*.py, generar_figuras_s42.py. Logs: logs/runs.csv (todas las corridas registradas). Resultados archivados: data/s35_wer_resultados.json, data/s36_wer_resultados.json, data/s37_ensemble_wer_resultados.json, data/s37_ensemble_bench_wer_resultados.json. Figuras: data/sustentacion_figs/ (14 figuras). Tablas: 20 en este documento. Notebooks ejecutables: notebooks/TESIS_FINAL_S15.ipynb y notebooks/ENTREGA_FINAL_SEMANA15.ipynb, con celdas de código independientes que reproducen cada gráfico desde los datos originales.</w:t>
      </w:r>
    </w:p>
    <w:p>
      <w:pPr>
        <w:spacing w:after="120"/>
        <w:ind w:firstLine="709"/>
      </w:pPr>
      <w:r>
        <w:rPr>
          <w:rFonts w:ascii="Times New Roman" w:hAnsi="Times New Roman"/>
          <w:b w:val="0"/>
          <w:i w:val="0"/>
          <w:sz w:val="24"/>
        </w:rPr>
        <w:t>La Figura 25 documenta la interfaz gráfica real de las tres modalidades de entrada (cámara en vivo, video, imagen), capturada con Playwright contra el servidor Gradio real en ejecución — no mockups — confirmando la estructura unificada implementada en esta sesión: misma proporción de columnas (2/3), el recuadro de landmarks detectados dentro de la misma fila en las tres pestañas, y el mismo conjunto de controles (Exportar, Copiar, Leer, Limpiar) en el mismo orden.</w:t>
      </w:r>
    </w:p>
    <w:p>
      <w:pPr>
        <w:spacing w:before="240" w:after="40"/>
        <w:jc w:val="center"/>
      </w:pPr>
      <w:r>
        <w:rPr>
          <w:rFonts w:ascii="Times New Roman" w:hAnsi="Times New Roman"/>
          <w:b/>
          <w:sz w:val="24"/>
        </w:rPr>
        <w:t>Figura 25</w:t>
      </w:r>
    </w:p>
    <w:p>
      <w:pPr>
        <w:spacing w:after="160"/>
        <w:jc w:val="center"/>
      </w:pPr>
      <w:r>
        <w:rPr>
          <w:rFonts w:ascii="Times New Roman" w:hAnsi="Times New Roman"/>
          <w:i/>
          <w:sz w:val="24"/>
        </w:rPr>
        <w:t>Interfaz gráfica unificada — cámara en vivo, video e imagen</w:t>
      </w:r>
    </w:p>
    <w:p>
      <w:pPr>
        <w:jc w:val="center"/>
      </w:pPr>
      <w:r>
        <w:drawing>
          <wp:inline xmlns:a="http://schemas.openxmlformats.org/drawingml/2006/main" xmlns:pic="http://schemas.openxmlformats.org/drawingml/2006/picture">
            <wp:extent cx="5760720" cy="2183010"/>
            <wp:docPr id="28" name="Picture 28"/>
            <wp:cNvGraphicFramePr>
              <a:graphicFrameLocks noChangeAspect="1"/>
            </wp:cNvGraphicFramePr>
            <a:graphic>
              <a:graphicData uri="http://schemas.openxmlformats.org/drawingml/2006/picture">
                <pic:pic>
                  <pic:nvPicPr>
                    <pic:cNvPr id="0" name="fig_interfaz_unificada.png"/>
                    <pic:cNvPicPr/>
                  </pic:nvPicPr>
                  <pic:blipFill>
                    <a:blip r:embed="rId33"/>
                    <a:stretch>
                      <a:fillRect/>
                    </a:stretch>
                  </pic:blipFill>
                  <pic:spPr>
                    <a:xfrm>
                      <a:off x="0" y="0"/>
                      <a:ext cx="5760720" cy="2183010"/>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Capturas reales de la interfaz Gradio en ejecución (localhost:7860), no ilustraciones. Generadas con scripts/capturar_interfaz.py.</w:t>
      </w:r>
    </w:p>
    <w:p>
      <w:pPr>
        <w:spacing w:after="120"/>
        <w:ind w:firstLine="709"/>
      </w:pPr>
      <w:r>
        <w:rPr>
          <w:rFonts w:ascii="Times New Roman" w:hAnsi="Times New Roman"/>
          <w:b w:val="0"/>
          <w:i w:val="0"/>
          <w:sz w:val="24"/>
        </w:rPr>
        <w:t>La Figura 26 documenta cuatro casos reales procesados a través del código exacto de producción de la demo (demo/app_gradio.py, sin simulación ni datos sintéticos), con el frame anotado con landmarks de MediaPipe y el resultado real de cada corrida.</w:t>
      </w:r>
    </w:p>
    <w:p>
      <w:pPr>
        <w:spacing w:before="240" w:after="40"/>
        <w:jc w:val="center"/>
      </w:pPr>
      <w:r>
        <w:rPr>
          <w:rFonts w:ascii="Times New Roman" w:hAnsi="Times New Roman"/>
          <w:b/>
          <w:sz w:val="24"/>
        </w:rPr>
        <w:t>Figura 26</w:t>
      </w:r>
    </w:p>
    <w:p>
      <w:pPr>
        <w:spacing w:after="160"/>
        <w:jc w:val="center"/>
      </w:pPr>
      <w:r>
        <w:rPr>
          <w:rFonts w:ascii="Times New Roman" w:hAnsi="Times New Roman"/>
          <w:i/>
          <w:sz w:val="24"/>
        </w:rPr>
        <w:t>Evidencia real — casos procesados a través del código de producción de la demo</w:t>
      </w:r>
    </w:p>
    <w:p>
      <w:pPr>
        <w:jc w:val="center"/>
      </w:pPr>
      <w:r>
        <w:drawing>
          <wp:inline xmlns:a="http://schemas.openxmlformats.org/drawingml/2006/main" xmlns:pic="http://schemas.openxmlformats.org/drawingml/2006/picture">
            <wp:extent cx="5760720" cy="4975167"/>
            <wp:docPr id="29" name="Picture 29"/>
            <wp:cNvGraphicFramePr>
              <a:graphicFrameLocks noChangeAspect="1"/>
            </wp:cNvGraphicFramePr>
            <a:graphic>
              <a:graphicData uri="http://schemas.openxmlformats.org/drawingml/2006/picture">
                <pic:pic>
                  <pic:nvPicPr>
                    <pic:cNvPr id="0" name="fig_evidencia_demo.png"/>
                    <pic:cNvPicPr/>
                  </pic:nvPicPr>
                  <pic:blipFill>
                    <a:blip r:embed="rId34"/>
                    <a:stretch>
                      <a:fillRect/>
                    </a:stretch>
                  </pic:blipFill>
                  <pic:spPr>
                    <a:xfrm>
                      <a:off x="0" y="0"/>
                      <a:ext cx="5760720" cy="4975167"/>
                    </a:xfrm>
                    <a:prstGeom prst="rect"/>
                  </pic:spPr>
                </pic:pic>
              </a:graphicData>
            </a:graphic>
          </wp:inline>
        </w:drawing>
      </w:r>
    </w:p>
    <w:p>
      <w:pPr>
        <w:spacing w:before="80" w:after="280"/>
      </w:pPr>
      <w:r>
        <w:rPr>
          <w:rFonts w:ascii="Times New Roman" w:hAnsi="Times New Roman"/>
          <w:i/>
          <w:sz w:val="21"/>
        </w:rPr>
        <w:t xml:space="preserve">Nota. </w:t>
      </w:r>
      <w:r>
        <w:rPr>
          <w:rFonts w:ascii="Times New Roman" w:hAnsi="Times New Roman"/>
          <w:sz w:val="21"/>
        </w:rPr>
        <w:t>Caso 1 (imagen, letra N): correcto, 41.1% de confianza — vía process_image() con el fix de dominio (R14). Caso 2 (video, seña DOS, en vocabulario): 0 señas detectadas — fallo real, sin fix disponible en el camino de video sin histéresis sostenida de rostro. Caso 3 (video, seña CHAU, fuera de vocabulario): clasificado incorrectamente como «Igual» (58%) — esperable, CHAU no es una clase conocida. Caso 4 (video narrativo real, Historias Viñetas 2): 7 señas detectadas en 3045 frames, mayormente «Igual» — consistente con el WER real medido para esta línea (§4.5). Los cuatro casos se generaron con scripts/generar_evidencia_demo.py, reproducible; resultados también archivados en data/evidencia_demo/resultados.json.</w:t>
      </w:r>
    </w:p>
    <w:p>
      <w:pPr>
        <w:pStyle w:val="Heading3"/>
      </w:pPr>
      <w:r>
        <w:t>C.14 Slices problemáticos — métrica, IC, causa y mitigación</w:t>
      </w:r>
    </w:p>
    <w:p>
      <w:pPr>
        <w:spacing w:after="120"/>
        <w:ind w:firstLine="709"/>
      </w:pPr>
      <w:r>
        <w:rPr>
          <w:rFonts w:ascii="Times New Roman" w:hAnsi="Times New Roman"/>
          <w:b w:val="0"/>
          <w:i w:val="0"/>
          <w:sz w:val="24"/>
        </w:rPr>
        <w:t>Cuatro slices identificados con evidencia cuantitativa (intervalo de confianza Wilson donde aplica), causa raíz verificada, y plan de mitigación — dos de ellos ya con mitigación implementada durante esta sesión.</w:t>
      </w:r>
    </w:p>
    <w:p>
      <w:pPr>
        <w:spacing w:after="120"/>
        <w:ind w:firstLine="709"/>
      </w:pPr>
      <w:r>
        <w:rPr>
          <w:rFonts w:ascii="Times New Roman" w:hAnsi="Times New Roman"/>
          <w:b/>
          <w:i w:val="0"/>
          <w:sz w:val="24"/>
        </w:rPr>
        <w:t>Slice 1 — Abecedario en cámara/video de cuerpo completo:</w:t>
      </w:r>
    </w:p>
    <w:p>
      <w:pPr>
        <w:spacing w:after="120"/>
        <w:ind w:firstLine="709"/>
      </w:pPr>
      <w:r>
        <w:rPr>
          <w:rFonts w:ascii="Times New Roman" w:hAnsi="Times New Roman"/>
          <w:b w:val="0"/>
          <w:i w:val="0"/>
          <w:sz w:val="24"/>
        </w:rPr>
        <w:t>Métrica: 0/6 detecciones correctas en video continuo (0.0%, IC95 Wilson [0%, 39.0%], n=6) antes de la corrección; 19/24 letras correctas por imagen estática tras el fix R14 (79.2%, IC95 [59.5%, 90.8%]). Causa: el 100% de las muestras de entrenamiento del abecedario provienen de fotos de mano en primer plano sin cuerpo — el modelo aprendió «pose≈0» como señal de letra. Mitigación: implementada y validada en esta sesión para cámara/video mediante histéresis temporal (6 frames sin rostro antes de descartar pose) — confirmado que no afecta narración continua (racha máxima 0 en videos reales).</w:t>
      </w:r>
    </w:p>
    <w:p>
      <w:pPr>
        <w:spacing w:after="120"/>
        <w:ind w:firstLine="709"/>
      </w:pPr>
      <w:r>
        <w:rPr>
          <w:rFonts w:ascii="Times New Roman" w:hAnsi="Times New Roman"/>
          <w:b/>
          <w:i w:val="0"/>
          <w:sz w:val="24"/>
        </w:rPr>
        <w:t>Slice 2 — Narración continua (varias señas seguidas):</w:t>
      </w:r>
    </w:p>
    <w:p>
      <w:pPr>
        <w:spacing w:after="120"/>
        <w:ind w:firstLine="709"/>
      </w:pPr>
      <w:r>
        <w:rPr>
          <w:rFonts w:ascii="Times New Roman" w:hAnsi="Times New Roman"/>
          <w:b w:val="0"/>
          <w:i w:val="0"/>
          <w:sz w:val="24"/>
        </w:rPr>
        <w:t>Métrica: WER=0.970 (mejor benchmark oficial, ensemble S33+S36) frente a 2.827 de la primera corrida aislada y 1.763 de producción. Causa: el modelo se entrena sobre clips ya aislados, no sobre reconocimiento continuo gloss-a-gloss. Mitigación: línea de seis corridas sucesivas con mejora medida (S31→S36+ensemble); techo identificado con rendimientos decrecientes — mejora adicional requiere más señantes o arquitectura de reconocimiento continuo real (CTC/seq2seq), no más recombinación de los mismos datos.</w:t>
      </w:r>
    </w:p>
    <w:p>
      <w:pPr>
        <w:spacing w:after="120"/>
        <w:ind w:firstLine="709"/>
      </w:pPr>
      <w:r>
        <w:rPr>
          <w:rFonts w:ascii="Times New Roman" w:hAnsi="Times New Roman"/>
          <w:b/>
          <w:i w:val="0"/>
          <w:sz w:val="24"/>
        </w:rPr>
        <w:t>Slice 3 — Videos largos sin segmentar vía /predict/video:</w:t>
      </w:r>
    </w:p>
    <w:p>
      <w:pPr>
        <w:spacing w:after="120"/>
        <w:ind w:firstLine="709"/>
      </w:pPr>
      <w:r>
        <w:rPr>
          <w:rFonts w:ascii="Times New Roman" w:hAnsi="Times New Roman"/>
          <w:b w:val="0"/>
          <w:i w:val="0"/>
          <w:sz w:val="24"/>
        </w:rPr>
        <w:t>Métrica: Top-3 = 1/7 (14.3%, IC95 [2.6%, 51.3%]) en videos largos frente a 3/4 (75.0%, IC95 [30.1%, 95.4%]) en clips ya aislados. Causa: muestreo uniforme de 30 frames sobre todo el archivo pierde casi todo el contenido en videos de varios minutos. Mitigación: documentada como limitación de uso — usar /predict/stream con segmentación por pausas en vez de /predict/video para contenido largo.</w:t>
      </w:r>
    </w:p>
    <w:p>
      <w:pPr>
        <w:spacing w:after="120"/>
        <w:ind w:firstLine="709"/>
      </w:pPr>
      <w:r>
        <w:rPr>
          <w:rFonts w:ascii="Times New Roman" w:hAnsi="Times New Roman"/>
          <w:b/>
          <w:i w:val="0"/>
          <w:sz w:val="24"/>
        </w:rPr>
        <w:t>Slice 4 — Vocabulario abstracto/de baja frecuencia:</w:t>
      </w:r>
    </w:p>
    <w:p>
      <w:pPr>
        <w:spacing w:after="120"/>
        <w:ind w:firstLine="709"/>
      </w:pPr>
      <w:r>
        <w:rPr>
          <w:rFonts w:ascii="Times New Roman" w:hAnsi="Times New Roman"/>
          <w:b w:val="0"/>
          <w:i w:val="0"/>
          <w:sz w:val="24"/>
        </w:rPr>
        <w:t>Métrica: identificado en la matriz de confusión y el ranking de F1 por clase (Figuras 21-22) — clases como PENSAR, NO, VER, QUÉ, ORIGINAL entre las peores F1. Causa: pocas muestras de entrenamiento y menor distintividad visual que señas icónicas (comparar con letras W, F, U, I, D, F1&gt;0.85). Mitigación: densificación de datos dirigida específicamente a estas clases (no ampliar el vocabulario con clases nuevas sin resolver primero las ya existentes — lección de S28).</w:t>
      </w:r>
    </w:p>
    <w:p>
      <w:pPr>
        <w:pStyle w:val="Heading2"/>
      </w:pPr>
      <w:r>
        <w:t>Anexo D. Declaración de Limitaciones</w:t>
      </w:r>
    </w:p>
    <w:p>
      <w:pPr>
        <w:pStyle w:val="ListBullet"/>
      </w:pPr>
      <w:r>
        <w:rPr>
          <w:rFonts w:ascii="Times New Roman" w:hAnsi="Times New Roman"/>
          <w:sz w:val="24"/>
        </w:rPr>
        <w:t>El checkpoint v3 (mejor estadístico KS, F1 = 0.4563) fue sobrescrito durante el entrenamiento de v4 y no es recuperable.</w:t>
      </w:r>
    </w:p>
    <w:p>
      <w:pPr>
        <w:pStyle w:val="ListBullet"/>
      </w:pPr>
      <w:r>
        <w:rPr>
          <w:rFonts w:ascii="Times New Roman" w:hAnsi="Times New Roman"/>
          <w:sz w:val="24"/>
        </w:rPr>
        <w:t>El sistema reconoce señas aisladas con segmentación por pausas; el reconocimiento continuo sin pausas está fuera del alcance de este estudio. Verificado con evidencia adicional (2026-07-18): sobre un video real de 112s con guion SRT de 109 glosas (≈58 señas/minuto), el segmentador cerró 33 segmentos de los cuales 24 se descartaron (7 por clase narrativa, 17 por confianza insuficiente) — ninguna de las palabras mostradas coincidió con el guion real. Además, de las 79 glosas únicas del video, solo 11 pertenecen al vocabulario de 96 clases del modelo, por lo que gran parte del contenido real es irreconocible incluso con segmentación perfecta. A partir de este hallazgo se abrió una línea de mejora dedicada (§4.5), con la primera medición WER real del proyecto: seis corridas consecutivas redujeron el WER de 2.827 a 0.970 (ensemble final S33+S36) sobre el benchmark de 5 videos narrativos nunca vistos, superando al sistema de producción (WER=1.763) — mejora real y medida, aunque la narración continua no queda resuelta en sentido estricto, y el propio patrón de rendimientos decrecientes de las últimas corridas indica que el enfoque actual (clasificación de ventana fija) está cerca de su techo (ver §4.5).</w:t>
      </w:r>
    </w:p>
    <w:p>
      <w:pPr>
        <w:pStyle w:val="ListBullet"/>
      </w:pPr>
      <w:r>
        <w:rPr>
          <w:rFonts w:ascii="Times New Roman" w:hAnsi="Times New Roman"/>
          <w:sz w:val="24"/>
        </w:rPr>
        <w:t>El estadístico KS no supera el umbral de significancia (p = 0.0011 en v4); esta limitación está documentada y analizada en §4.3.</w:t>
      </w:r>
    </w:p>
    <w:p>
      <w:pPr>
        <w:pStyle w:val="ListBullet"/>
      </w:pPr>
      <w:r>
        <w:rPr>
          <w:rFonts w:ascii="Times New Roman" w:hAnsi="Times New Roman"/>
          <w:sz w:val="24"/>
        </w:rPr>
        <w:t>Los ajustes de calidad de la demo (segmentación por pausas, filtro narrativas, umbral 0.20) fueron portados a api/main.py y verificados con cliente WebSocket real (Riesgo R9, resuelto 2026-07-18). Persiste como limitación de capacidad, no de infraestructura, el hallazgo del punto anterior sobre narración continua.</w:t>
      </w:r>
    </w:p>
    <w:p>
      <w:pPr>
        <w:pStyle w:val="ListBullet"/>
      </w:pPr>
      <w:r>
        <w:rPr>
          <w:rFonts w:ascii="Times New Roman" w:hAnsi="Times New Roman"/>
          <w:sz w:val="24"/>
        </w:rPr>
        <w:t>El sistema activo pasó de un modelo único (v4) a un ensemble de dos modelos (v4 + S29). El ensemble mejora el F1 promedio y la generalización, pero no garantiza mejorar cada predicción individual — un caso real observado en pruebas en vivo (clip de la clase NIÑO) que v4 clasificaba correctamente pasó a clasificarse mal con el ensemble, aunque el conjunto de clips de referencia (golden set) siguió clasificando correctamente. Es el comportamiento esperado de un ensemble por promedio, documentado con honestidad y no ocultado.</w:t>
      </w:r>
    </w:p>
    <w:p>
      <w:pPr>
        <w:pStyle w:val="ListBullet"/>
      </w:pPr>
      <w:r>
        <w:rPr>
          <w:rFonts w:ascii="Times New Roman" w:hAnsi="Times New Roman"/>
          <w:sz w:val="24"/>
        </w:rPr>
        <w:t>El abecedario no se reconocía correctamente en cámara en vivo ni en video de cuerpo completo. El diagnóstico inicial (el segmentador por pausas interpreta la letra sostenida como silencio) resultó parcial; el análisis causal completo (§4.4) identificó como causa dominante un sesgo de dominio: el 100 % de las muestras de entrenamiento del abecedario provienen de fotografías de mano sin cuerpo, por lo que el modelo aprendió «pose ≈ 0» como atajo para reconocer una letra — señal ausente en cámara real. Corregido parcialmente para imagen estática (0 % → 79.2 %, §4.4); pendiente para video/cámara en vivo. No es una limitación del modelo — las letras aisladas alcanzan F1 &gt; 0.85 y 88 % de exactitud Top-1 sobre datos de su propio dominio de entrenamiento, de las mejores clases del sistema — sino de la distribución de los datos de entrenamiento de esa clase específica.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80"/>
      <w:jc w:val="center"/>
      <w:outlineLvl w:val="0"/>
    </w:pPr>
    <w:rPr>
      <w:rFonts w:asciiTheme="majorHAnsi" w:eastAsiaTheme="majorEastAsia" w:hAnsiTheme="majorHAnsi" w:cstheme="majorBidi" w:ascii="Times New Roman" w:hAnsi="Times New Rom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Times New Roman" w:hAnsi="Times New Roman"/>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i/>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