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7C78"/>
        </w:rPr>
        <w:t>Comparativo de rendimiento: baseline → S26, y diagnóstico de latencia</w:t>
      </w:r>
    </w:p>
    <w:p>
      <w:r>
        <w:rPr>
          <w:b/>
        </w:rPr>
        <w:t>Traductor LSP → Castellano</w:t>
        <w:br/>
      </w:r>
      <w:r>
        <w:rPr>
          <w:color w:val="6B7A80"/>
          <w:sz w:val="19"/>
        </w:rPr>
        <w:t>Fecha del informe: 2026-07-10  ·  Última corrida completa: S26 (2026-07-09)  ·  Próxima corrida: S27 (preparada, sin ejecutar)</w:t>
        <w:br/>
        <w:t>Fuente de datos: logs/runs.csv · notebooks/informe_rendimiento_s26.ipynb</w:t>
      </w:r>
    </w:p>
    <w:p>
      <w:pPr>
        <w:pStyle w:val="Heading2"/>
      </w:pPr>
      <w:r>
        <w:t>KPI actuales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E7C78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320"/>
            <w:shd w:fill="0E7C78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F1-test actual (S26)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0.4098  (objetivo ≥0.35, +6 966% vs S5)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HE3 (generalización)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FALLA — ΔF1=0.1663, umbral ≤0.15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Latencia p50 (batch=1)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1.84 ms  (p95=2.58 ms, ONNX CPU)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Throughput (batch=32)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3 073 s/s — modelo 3.9 MB, 965K parámetros</w:t>
            </w:r>
          </w:p>
        </w:tc>
      </w:tr>
    </w:tbl>
    <w:p/>
    <w:p>
      <w:pPr>
        <w:pStyle w:val="Heading1"/>
      </w:pPr>
      <w:r>
        <w:t>1. Comparativo baseline vs. actual</w:t>
      </w:r>
    </w:p>
    <w:p>
      <w:r>
        <w:t>Técnico (F1-macro, exactitud, HE3) y percepción del usuario (Top-1/Top-3/Top-5), a lo largo de 15 sprints registrados en logs/runs.csv.</w:t>
      </w:r>
    </w:p>
    <w:p>
      <w:pPr>
        <w:pStyle w:val="Heading2"/>
      </w:pPr>
      <w:r>
        <w:t>1.1 Tabla técnica: 15 sprints, baseline (S5) → actual (S26)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F1-test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Acc-test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N clases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Lat (ms)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HE3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ΔF1</w:t>
            </w:r>
          </w:p>
        </w:tc>
        <w:tc>
          <w:tcPr>
            <w:tcW w:type="dxa" w:w="960"/>
            <w:shd w:fill="0E7C78"/>
          </w:tcPr>
          <w:p>
            <w:r>
              <w:rPr>
                <w:b/>
                <w:color w:val="FFFFFF"/>
                <w:sz w:val="18"/>
              </w:rPr>
              <w:t>PSI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LogReg (baseline)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0.0058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0.0210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1086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LSTM-Bidir S9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0.0109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0.0262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482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48.0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S10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S10 + HPO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0.0302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0.0438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482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S13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S13 (+LSA64)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0.3696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0.3765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193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0.3496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0.0729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S14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S14 (solo-LSP)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0.1987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0.3575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139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0.1459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S15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S15 (+AEC)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0.1369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0.2053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255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PASA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0.0212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S18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S18 (grupos AEC fix)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0.3659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0.4084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0.1462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S19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S19 (aug agresivo)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0.3357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0.3491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0.3107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0.0877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S20 (DANN)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0.2236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0.2327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0.2118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0.0442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S21 (body-center)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0.0833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0.1175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PASA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0.0787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0.0154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S22 (body-center v2)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0.3163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0.3377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1.1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0.2917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0.1741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S23 (velocity)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0.1778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0.1049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0.1659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0.1247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S24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S24 (hand-only)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0.2551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0.2817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0.2354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0.1596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S25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S25 (src-DANN)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0.2262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0.2458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0.9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0.2144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0.0758</w:t>
            </w:r>
          </w:p>
        </w:tc>
      </w:tr>
      <w:tr>
        <w:tc>
          <w:tcPr>
            <w:tcW w:type="dxa" w:w="960"/>
          </w:tcPr>
          <w:p>
            <w:pPr/>
            <w:r>
              <w:rPr>
                <w:sz w:val="18"/>
              </w:rPr>
              <w:t>S26 ★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BiLSTM S26 — actual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0.4098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0.4104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91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FALLA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0.1663</w:t>
            </w:r>
          </w:p>
        </w:tc>
        <w:tc>
          <w:tcPr>
            <w:tcW w:type="dxa" w:w="960"/>
          </w:tcPr>
          <w:p>
            <w:pPr/>
            <w:r>
              <w:rPr>
                <w:sz w:val="18"/>
              </w:rPr>
              <w:t>0.1523</w:t>
            </w:r>
          </w:p>
        </w:tc>
      </w:tr>
    </w:tbl>
    <w:p/>
    <w:p>
      <w:r>
        <w:t>Mejora F1-test baseline→actual: 0.0058 → 0.4098 (+6 966%). Ningún sprint ha logrado F1≥0.35 y HE3=PASA de forma simultánea — es el objetivo que persigue S27.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95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f1_evolu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80"/>
          <w:sz w:val="18"/>
        </w:rPr>
        <w:t>Fig. 1 — Evolución de F1-test por sprint. Verde = HE3 pasa, rojo = HE3 falla.</w:t>
      </w:r>
    </w:p>
    <w:p/>
    <w:p>
      <w:pPr>
        <w:pStyle w:val="Heading2"/>
      </w:pPr>
      <w:r>
        <w:t>1.2 Percepción del usuario: Top-K accuracy</w:t>
      </w:r>
    </w:p>
    <w:p>
      <w:r>
        <w:t>F1-macro mide exactitud balanceada por clase (criterio técnico). Top-3/Top-5 aproximan la experiencia real: si el sistema sugiere varias señas candidatas, ¿aparece la correcta entre ellas?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E7C78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160"/>
            <w:shd w:fill="0E7C78"/>
          </w:tcPr>
          <w:p>
            <w:r>
              <w:rPr>
                <w:b/>
                <w:color w:val="FFFFFF"/>
                <w:sz w:val="18"/>
              </w:rPr>
              <w:t>F1 (Top-1)</w:t>
            </w:r>
          </w:p>
        </w:tc>
        <w:tc>
          <w:tcPr>
            <w:tcW w:type="dxa" w:w="2160"/>
            <w:shd w:fill="0E7C78"/>
          </w:tcPr>
          <w:p>
            <w:r>
              <w:rPr>
                <w:b/>
                <w:color w:val="FFFFFF"/>
                <w:sz w:val="18"/>
              </w:rPr>
              <w:t>Top-3</w:t>
            </w:r>
          </w:p>
        </w:tc>
        <w:tc>
          <w:tcPr>
            <w:tcW w:type="dxa" w:w="2160"/>
            <w:shd w:fill="0E7C78"/>
          </w:tcPr>
          <w:p>
            <w:r>
              <w:rPr>
                <w:b/>
                <w:color w:val="FFFFFF"/>
                <w:sz w:val="18"/>
              </w:rPr>
              <w:t>Top-5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0.370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0.582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0.137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0.356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0.406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0.366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0.556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0.605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0.336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0.439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0.463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0.316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0.432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0.503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S26 ★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0.494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0.588</w:t>
            </w:r>
          </w:p>
        </w:tc>
      </w:tr>
    </w:tbl>
    <w:p/>
    <w:p>
      <w:r>
        <w:t>Lectura de usuario (S26): en 1 de cada 2 señas el modelo sugiere la correcta como top-3; en casi 3 de cada 5, aparece entre las top-5.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6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top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80"/>
          <w:sz w:val="18"/>
        </w:rPr>
        <w:t>Fig. 2 — F1 (Top-1) vs Top-3 vs Top-5 en los sprints clave.</w:t>
      </w:r>
    </w:p>
    <w:p/>
    <w:p>
      <w:pPr>
        <w:pStyle w:val="Heading1"/>
      </w:pPr>
      <w:r>
        <w:t>2. Informe de latencia</w:t>
      </w:r>
    </w:p>
    <w:p>
      <w:r>
        <w:t>Benchmark de inferencia ONNX Runtime sobre CPU, modelo activo BiLSTM S26 (3.9 MB, 965K parámetros). 1000–2000 corridas por configuración tras warm-up.</w:t>
      </w:r>
    </w:p>
    <w:p>
      <w:pPr>
        <w:pStyle w:val="Heading2"/>
      </w:pPr>
      <w:r>
        <w:t>2.1 Latencia y throughput por batch size (S26)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p95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p99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Throughput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1.72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1.71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2.25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2.72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3.42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582 s/s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6.77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6.49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7.49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9.12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108.46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1 183 s/s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10.41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10.29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11.27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11.80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76.27 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3 073 s/s</w:t>
            </w:r>
          </w:p>
        </w:tc>
      </w:tr>
    </w:tbl>
    <w:p/>
    <w:p>
      <w:r>
        <w:t>Distribución extendida (2000 corridas, batch=1): p50=1.84 ms · p95=2.58 ms · p99=3.34 ms · media=1.88 ms (σ=0.495). 0 errores de inferencia registrados en 2000+ corridas por configuración.</w:t>
      </w:r>
    </w:p>
    <w:p>
      <w:pPr>
        <w:pStyle w:val="Heading2"/>
      </w:pPr>
      <w:r>
        <w:t>2.2 Comparativo entre modelos (batch=1, 500 corridas)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E7C78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440"/>
            <w:shd w:fill="0E7C78"/>
          </w:tcPr>
          <w:p>
            <w:r>
              <w:rPr>
                <w:b/>
                <w:color w:val="FFFFFF"/>
                <w:sz w:val="18"/>
              </w:rPr>
              <w:t>N clases</w:t>
            </w:r>
          </w:p>
        </w:tc>
        <w:tc>
          <w:tcPr>
            <w:tcW w:type="dxa" w:w="1440"/>
            <w:shd w:fill="0E7C78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440"/>
            <w:shd w:fill="0E7C78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440"/>
            <w:shd w:fill="0E7C78"/>
          </w:tcPr>
          <w:p>
            <w:r>
              <w:rPr>
                <w:b/>
                <w:color w:val="FFFFFF"/>
                <w:sz w:val="18"/>
              </w:rPr>
              <w:t>p95</w:t>
            </w:r>
          </w:p>
        </w:tc>
        <w:tc>
          <w:tcPr>
            <w:tcW w:type="dxa" w:w="1440"/>
            <w:shd w:fill="0E7C78"/>
          </w:tcPr>
          <w:p>
            <w:r>
              <w:rPr>
                <w:b/>
                <w:color w:val="FFFFFF"/>
                <w:sz w:val="18"/>
              </w:rPr>
              <w:t>Throughput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S13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1.86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1.84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2.47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538 s/s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S19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1.80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1.82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2.33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555 s/s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S26 ★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1.80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1.79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2.32 ms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557 s/s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lat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80"/>
          <w:sz w:val="18"/>
        </w:rPr>
        <w:t>Fig. 3 — Distribución de latencia (p50/p95/p99) y throughput vs batch size.</w:t>
      </w:r>
    </w:p>
    <w:p/>
    <w:p>
      <w:pPr>
        <w:pStyle w:val="Heading2"/>
      </w:pPr>
      <w:r>
        <w:t>2.3 Optimizaciones de latencia/despliegue probadas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Adoptada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S9 — LSTM puro PyTorch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48 ms, inaceptable para tiempo real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S10 — Export ONNX opset 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48 ms → 0.9 ms (53× reducción)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S10 — hidden 256→128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F1 cae 15%; descartada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S10 — n_layers 2→1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F1 sin cambio, menos sobreajuste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S13–S26 — proj(150→128) antes de BiLSTM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F1 +2% con menor costo cómputo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S26 — Temperature scaling (T*=0.924)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ECE 0.140→0.108, latencia sin cambio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S26 — ONNX CPU (sin GPU/MPS en producción)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p95&lt;3 ms, throughput 1000+ s/s en batch=32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✓</w:t>
            </w:r>
          </w:p>
        </w:tc>
      </w:tr>
    </w:tbl>
    <w:p/>
    <w:p>
      <w:pPr>
        <w:pStyle w:val="Heading2"/>
      </w:pPr>
      <w:r>
        <w:t>2.4 Errores detectados y resueltos</w:t>
      </w:r>
    </w:p>
    <w:p>
      <w:pPr>
        <w:pStyle w:val="ListBullet"/>
      </w:pPr>
      <w:r>
        <w:rPr>
          <w:b/>
          <w:color w:val="0E7C78"/>
        </w:rPr>
        <w:t xml:space="preserve">[S9–S10] </w:t>
      </w:r>
      <w:r>
        <w:t>Overfitting severo — brecha val/test de 95%.  → GroupShuffleSplit + KFold estratificado.</w:t>
      </w:r>
    </w:p>
    <w:p>
      <w:pPr>
        <w:pStyle w:val="ListBullet"/>
      </w:pPr>
      <w:r>
        <w:rPr>
          <w:b/>
          <w:color w:val="0E7C78"/>
        </w:rPr>
        <w:t xml:space="preserve">[S15] </w:t>
      </w:r>
      <w:r>
        <w:t>66% del holdout con F1=0 — letras A,E,L,N,T,X del abecedario, 1 solo señante.  → Estrategia por_subgrupo: 3 sub-grupos por letra en abecedario.</w:t>
      </w:r>
    </w:p>
    <w:p>
      <w:pPr>
        <w:pStyle w:val="ListBullet"/>
      </w:pPr>
      <w:r>
        <w:rPr>
          <w:b/>
          <w:color w:val="0E7C78"/>
        </w:rPr>
        <w:t xml:space="preserve">[S26] </w:t>
      </w:r>
      <w:r>
        <w:t>Cross-source HISTORIAS_VINETAS_23 — 234 muestras en holdout con F1=0.007.  → Dataset S17: sub-grupos balanceados dgi156+vineta → validado en S27.</w:t>
      </w:r>
    </w:p>
    <w:p>
      <w:pPr>
        <w:pStyle w:val="ListBullet"/>
      </w:pPr>
      <w:r>
        <w:rPr>
          <w:b/>
          <w:color w:val="0E7C78"/>
        </w:rPr>
        <w:t xml:space="preserve">[S21] </w:t>
      </w:r>
      <w:r>
        <w:t>HE3 pasa trivialmente — F1 global de solo 0.083 (bug de body-centering).  → Descartado; no se confunde 'pasar la métrica' con resolver el problema.</w:t>
      </w:r>
    </w:p>
    <w:p>
      <w:pPr>
        <w:pStyle w:val="ListBullet"/>
      </w:pPr>
      <w:r>
        <w:rPr>
          <w:b/>
          <w:color w:val="0E7C78"/>
        </w:rPr>
        <w:t xml:space="preserve">[S20/S25] </w:t>
      </w:r>
      <w:r>
        <w:t>DANN empeora F1 — domain-adversarial training, −15% F1 en ambos intentos.  → Descartado; augmentation agresiva fue más efectiva.</w:t>
      </w:r>
    </w:p>
    <w:p>
      <w:pPr>
        <w:pStyle w:val="ListBullet"/>
      </w:pPr>
      <w:r>
        <w:rPr>
          <w:b/>
          <w:color w:val="0E7C78"/>
        </w:rPr>
        <w:t xml:space="preserve">[varios] </w:t>
      </w:r>
      <w:r>
        <w:t>Crash de MPS (Apple Silicon) durante entrenamiento.  → PYTORCH_MPS_HIGH_WATERMARK_RATIO=0.0</w:t>
      </w:r>
    </w:p>
    <w:p>
      <w:pPr>
        <w:pStyle w:val="Heading1"/>
      </w:pPr>
      <w:r>
        <w:t>3. Causa raíz de la falla HE3 y estado de la solución</w:t>
      </w:r>
    </w:p>
    <w:p>
      <w:r>
        <w:t>HE3 exige generalización a señantes/sesiones no vistos: ΔF1=|F1-test − F1-holdout-por-grupo| ≤0.15, PSI&lt;0.20, KS p&gt;0.05.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F1-test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F1-ghold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ΔF1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PSI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KS p</w:t>
            </w:r>
          </w:p>
        </w:tc>
        <w:tc>
          <w:tcPr>
            <w:tcW w:type="dxa" w:w="1234"/>
            <w:shd w:fill="0E7C78"/>
          </w:tcPr>
          <w:p>
            <w:r>
              <w:rPr>
                <w:b/>
                <w:color w:val="FFFFFF"/>
                <w:sz w:val="18"/>
              </w:rPr>
              <w:t>HE3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S10v2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0.0091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0.0014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0.0077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0.0225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0.0675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S11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0.0237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0.0237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0.0825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FALLA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S13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0.3696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0.0200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0.3496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0.0729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FALLA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S15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0.1369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0.1200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0.0169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0.0212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0.1200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S18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0.3659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0.0500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0.3159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0.1462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FALLA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S19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0.3357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0.0250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0.3107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0.0877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FALLA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S21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0.0833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0.0046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0.0787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0.0154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0.5000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S26 ★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0.4098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0.2436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0.1663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0.1523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FALLA</w:t>
            </w:r>
          </w:p>
        </w:tc>
      </w:tr>
    </w:tbl>
    <w:p/>
    <w:p>
      <w:r>
        <w:t>S26 queda a ΔF1=0.0163 del umbral (0.1663 vs 0.15 requerido).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1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h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80"/>
          <w:sz w:val="18"/>
        </w:rPr>
        <w:t>Fig. 4 — ΔF1 por sprint frente al umbral 0.15, F1-test vs F1-holdout, y PSI.</w:t>
      </w:r>
    </w:p>
    <w:p/>
    <w:p>
      <w:pPr>
        <w:pStyle w:val="Heading2"/>
      </w:pPr>
      <w:r>
        <w:t>3.1 Peores clases en el holdout de S26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E7C78"/>
          </w:tcPr>
          <w:p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type="dxa" w:w="1728"/>
            <w:shd w:fill="0E7C78"/>
          </w:tcPr>
          <w:p>
            <w:r>
              <w:rPr>
                <w:b/>
                <w:color w:val="FFFFFF"/>
                <w:sz w:val="18"/>
              </w:rPr>
              <w:t>N holdout</w:t>
            </w:r>
          </w:p>
        </w:tc>
        <w:tc>
          <w:tcPr>
            <w:tcW w:type="dxa" w:w="1728"/>
            <w:shd w:fill="0E7C78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728"/>
            <w:shd w:fill="0E7C78"/>
          </w:tcPr>
          <w:p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1728"/>
            <w:shd w:fill="0E7C78"/>
          </w:tcPr>
          <w:p>
            <w:r>
              <w:rPr>
                <w:b/>
                <w:color w:val="FFFFFF"/>
                <w:sz w:val="18"/>
              </w:rPr>
              <w:t>Causa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HISTORIAS_VINETAS_23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0.007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dgi156/vineta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train=dgi156, holdout=vineta (dominios distintos)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HISTORIAS_VINETAS_14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0.067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dgi156/vineta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HISTORIAS_VINETAS_20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0.066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dgi156/vineta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ORIGINAL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0.099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 muestras en training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aec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pocas muestras en holdout (ruido)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CÓMO / CONFLICTO / NO / …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1–6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aec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pocas muestras en holdout (ruido)</w:t>
            </w:r>
          </w:p>
        </w:tc>
      </w:tr>
    </w:tbl>
    <w:p/>
    <w:p>
      <w:r>
        <w:t>Las 3 clases HISTORIAS_VINETAS_* por sí solas explican 365 de las ~500 muestras problemáticas del holdout (≈73%): dgi156 y vineta son la misma sesión narrativa capturada dos veces, tratadas como grupos independientes por GroupShuffleSplit.</w:t>
      </w:r>
    </w:p>
    <w:p>
      <w:pPr>
        <w:pStyle w:val="Heading2"/>
      </w:pPr>
      <w:r>
        <w:t>3.2 Solución preparada: dataset S17 + train_s27.py</w:t>
      </w:r>
    </w:p>
    <w:p>
      <w:r>
        <w:t>scripts/build_dataset_s17.py ya corrigió esto: para toda clase compartida entre dgi156 y vineta, reparte ambas fuentes en 5 sub-grupos balanceados (balancear_grupos_hv()). data/dataset_s17.npz está construido (69.7 MB, generado 2026-07-10). scripts/train_s27.py apunta a este dataset y declara como objetivo F1-test≥0.35 y HE3 PASA.</w:t>
      </w:r>
    </w:p>
    <w:p>
      <w:r>
        <w:rPr>
          <w:b/>
          <w:color w:val="B3791F"/>
        </w:rPr>
        <w:t>⚠ Corrección sobre el notebook fuente: notebooks/informe_rendimiento_s26.ipynb (2026-07-09) da por hecho que S27 está "ENTRENANDO (estimado ~10 horas MPS)". Verificado en el filesystem el 2026-07-10: no existe checkpoints/bilstm_s27.pt ni .onnx, y no hay entrada S27 en logs/runs.csv. S27 está preparado pero aún no se ha ejecutado.</w:t>
      </w:r>
    </w:p>
    <w:p>
      <w:r>
        <w:t>Nota adicional: el fix de S17 resuelve la contaminación cross-source (dgi156↔vineta), que explica ≈73% de las muestras problemáticas del holdout. No resuelve el problema estructural, distinto, del abecedario de señante único (6 letras A,E,L,N,T,X sin diversidad de señante) — ese requiere grabación nueva o exclusión explícita de la métrica HE3, y sigue pendiente.</w:t>
      </w:r>
    </w:p>
    <w:p>
      <w:pPr>
        <w:pStyle w:val="Heading1"/>
      </w:pPr>
      <w:r>
        <w:t>4. Evidencia — scripts, datos y figuras</w:t>
      </w:r>
    </w:p>
    <w:p>
      <w:r>
        <w:t>Inventario verificado en disco el 2026-07-10, con tamaños de archivo reales.</w:t>
      </w:r>
    </w:p>
    <w:p>
      <w:pPr>
        <w:pStyle w:val="Heading2"/>
      </w:pPr>
      <w:r>
        <w:t>4.1 Scripts del pipeline activo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build_dataset_s16.py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14.7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Dataset S16: todas las fuentes LSP + por_subgrupo abecedario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build_dataset_s17.py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15.7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Dataset S17: S16 + sub-grupos balanceados HV (fix cross-source)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train_s26.py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27.2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Entrenamiento BiLSTM S26 sobre dataset_s16.npz (91 clases) — completado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train_s27.py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24.3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Entrenamiento BiLSTM S27 sobre dataset_s17.npz (fix HE3) — pendiente de ejecutar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train_s19.py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25.7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Referencia: aug-agresivo, base de S26/S27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catalogo_datasets_lsp.py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23.8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Catálogo de datasets LSP disponibles y su estado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download_lsp_datasets.py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14.5 KB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Descarga automática de datasets PUCP/GitHub</w:t>
            </w:r>
          </w:p>
        </w:tc>
      </w:tr>
    </w:tbl>
    <w:p/>
    <w:p>
      <w:pPr>
        <w:pStyle w:val="Heading2"/>
      </w:pPr>
      <w:r>
        <w:t>4.2 Datos y checkpoints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880"/>
            <w:shd w:fill="0E7C78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dataset_s16.npz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68.6 MB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12 048 muestras, 91 clases, grupos mejorados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dataset_s17.npz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69.7 MB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Igual a S16 + sub-grupos balanceados HV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s16_he3_report.json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Análisis HE3 pre-entrenamiento, dataset S16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s17_he3_report.json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Análisis HE3 pre-entrenamiento, dataset S17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bilstm_s13.onnx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4.0 MB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Checkpoint sprint 13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bilstm_s19.onnx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3.9 MB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Checkpoint sprint 19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bilstm_s26.onnx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3.9 MB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Checkpoint activo — mejor F1 hasta la fecha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bilstm_s27.onnx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pendiente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 genera al ejecutar train_s27.py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5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resumen_s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80"/>
          <w:sz w:val="18"/>
        </w:rPr>
        <w:t>Fig. 5 — Panel resumen del estado del proyecto a S26.</w:t>
      </w:r>
    </w:p>
    <w:p/>
    <w:p>
      <w:pPr>
        <w:pStyle w:val="Heading2"/>
      </w:pPr>
      <w:r>
        <w:t>4.3 Fuentes primarias de este informe</w:t>
      </w:r>
    </w:p>
    <w:p>
      <w:pPr>
        <w:pStyle w:val="ListBullet"/>
      </w:pPr>
      <w:r>
        <w:t>logs/runs.csv — historial de 32 corridas de entrenamiento.</w:t>
      </w:r>
    </w:p>
    <w:p>
      <w:pPr>
        <w:pStyle w:val="ListBullet"/>
      </w:pPr>
      <w:r>
        <w:t>notebooks/informe_rendimiento_s26.ipynb — notebook fuente, 16 celdas ejecutadas sin errores (2026-07-09).</w:t>
      </w:r>
    </w:p>
    <w:p>
      <w:pPr>
        <w:pStyle w:val="ListBullet"/>
      </w:pPr>
      <w:r>
        <w:t>scripts/build_dataset_s17.py — balancear_grupos_hv() y analizar_he3().</w:t>
      </w:r>
    </w:p>
    <w:p>
      <w:pPr>
        <w:pStyle w:val="ListBullet"/>
      </w:pPr>
      <w:r>
        <w:t>scripts/catalogo_datasets_lsp.py — diagnóstico de causa raíz del abecedario de señante único.</w:t>
      </w:r>
    </w:p>
    <w:p>
      <w:pPr>
        <w:pStyle w:val="ListBullet"/>
      </w:pPr>
      <w:r>
        <w:t>Benchmarks de latencia ejecutados en vivo con onnxruntime, CPU, 500–2000 corridas por configuración.</w:t>
      </w:r>
    </w:p>
    <w:p>
      <w:r>
        <w:rPr>
          <w:i/>
          <w:color w:val="6B7A80"/>
        </w:rPr>
        <w:t>Próxima acción recomendada: ejecutar scripts/train_s27.py (~10 h estimadas) para validar si el fix de grupos cross-source de S17 lleva HE3 a PASA.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2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