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28"/>
        </w:rPr>
        <w:t>SISTEMA INTEGRAL DE COMUNICACIÓN INCLUSIVA,</w:t>
        <w:br/>
        <w:t>BASADO EN DEEP LEARNING, PARA LA TRADUCCIÓN</w:t>
        <w:br/>
        <w:t>DE LENGUA DE SEÑAS PERUANA A TEXTO CASTELLANO</w:t>
      </w:r>
    </w:p>
    <w:p/>
    <w:p>
      <w:pPr>
        <w:jc w:val="center"/>
      </w:pPr>
      <w:r>
        <w:rPr>
          <w:b/>
          <w:color w:val="16559A"/>
          <w:sz w:val="26"/>
        </w:rPr>
        <w:t>MATRIZ DE CONSISTENCIA</w:t>
      </w:r>
    </w:p>
    <w:p/>
    <w:p>
      <w:pPr>
        <w:jc w:val="center"/>
      </w:pPr>
      <w:r>
        <w:rPr>
          <w:color w:val="555555"/>
          <w:sz w:val="20"/>
        </w:rPr>
        <w:t>Maestría en Inteligencia Artificial  ·  Lima, 2026</w:t>
      </w:r>
    </w:p>
    <w:p/>
    <w:p/>
    <w:p>
      <w:pPr>
        <w:pStyle w:val="Heading1"/>
      </w:pPr>
      <w:r>
        <w:rPr>
          <w:color w:val="16559A"/>
        </w:rPr>
        <w:t>1. MATRIZ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PROBLEMAS</w:t>
            </w:r>
          </w:p>
        </w:tc>
        <w:tc>
          <w:tcPr>
            <w:tcW w:type="dxa" w:w="238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OBJETIVOS</w:t>
            </w:r>
          </w:p>
        </w:tc>
        <w:tc>
          <w:tcPr>
            <w:tcW w:type="dxa" w:w="2494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type="dxa" w:w="238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VARIABLES</w:t>
              <w:br/>
              <w:t>(VI / VD / Control)</w:t>
            </w:r>
          </w:p>
        </w:tc>
        <w:tc>
          <w:tcPr>
            <w:tcW w:type="dxa" w:w="2948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OPERACIONALIZACIÓN</w:t>
              <w:br/>
              <w:t>(indicadores y escala)</w:t>
            </w:r>
          </w:p>
        </w:tc>
        <w:tc>
          <w:tcPr>
            <w:tcW w:type="dxa" w:w="272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METODOLOGÍA</w:t>
            </w:r>
          </w:p>
        </w:tc>
      </w:tr>
      <w:tr>
        <w:tc>
          <w:tcPr>
            <w:tcW w:type="dxa" w:w="2381"/>
            <w:shd w:val="clear" w:color="auto" w:fill="D6E4F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PROBLEMA GENERAL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¿En qué medida un sistema basado en Deep Learning puede traducir la Lengua de Señas Peruana (LSP) a texto castellano de forma precisa y en tiempo real, favoreciendo la comunicación inclusiva de la comunidad sorda peruana?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D6E4F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OBJETIVO GENERAL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Desarrollar un sistema integral de comunicación inclusiva basado en Deep Learning para la traducción automática de señas LSP a texto castellano, con alta precisión de clasificación (F1-macro ≥ 0.80) y baja latencia de respuesta (≤ 200 ms).</w:t>
            </w:r>
          </w:p>
          <w:p>
            <w:pPr>
              <w:spacing w:before="20" w:after="20"/>
            </w:pPr>
          </w:p>
        </w:tc>
        <w:tc>
          <w:tcPr>
            <w:tcW w:type="dxa" w:w="2494"/>
            <w:shd w:val="clear" w:color="auto" w:fill="D6E4F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HIPÓTESIS GENERAL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El sistema integral basado en Deep Learning alcanza una F1-macro ≥ 0.80 en la clasificación de señas LSP y una latencia ≤ 200 ms, superando a los métodos de aprendizaje automático convencionales y manteniendo su desempeño ante usuarios y contextos no vistos durante el entrenamiento.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D6E4F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VI: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Arquitectura del sistema de Deep Learning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VD: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Desempeño del sistema (precisión + latencia + generalización)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Control: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Dataset LSP peruano, protocolo de validación, hardware estándar</w:t>
            </w:r>
          </w:p>
          <w:p>
            <w:pPr>
              <w:spacing w:before="20" w:after="20"/>
            </w:pPr>
          </w:p>
        </w:tc>
        <w:tc>
          <w:tcPr>
            <w:tcW w:type="dxa" w:w="2948"/>
            <w:shd w:val="clear" w:color="auto" w:fill="D6E4F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Ver operacionalización específica por cada VD en las filas siguientes.</w:t>
            </w:r>
          </w:p>
          <w:p>
            <w:pPr>
              <w:spacing w:before="20" w:after="20"/>
            </w:pPr>
          </w:p>
        </w:tc>
        <w:tc>
          <w:tcPr>
            <w:tcW w:type="dxa" w:w="2721"/>
            <w:shd w:val="clear" w:color="auto" w:fill="D6E4F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Enfoque: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Cuantitativo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Tipo: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Aplicada – Experimental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Diseño: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Cuasi-experimental con grupos de comparación (baseline ML vs. modelo DL propuesto)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Muestra: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Dataset LSP peruano oficial — 482 clases, 4 176 muestras de keypoints (30 frames × 150 dim); partición 70/15/15 (train/val/test). Holdout externo: 20% reservado por grupo de usuario.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Técnicas: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Extracción de puntos clave (MediaPipe Holistic), optimización de hiperparámetros (Optuna-TPE), KFold(5) estratificado, calibración de confianza (Temperature Scaling), métricas F1-macro, latencia, WER/BLEU, PSI/KS</w:t>
            </w:r>
          </w:p>
          <w:p>
            <w:pPr>
              <w:spacing w:before="20" w:after="20"/>
            </w:pPr>
          </w:p>
        </w:tc>
      </w:tr>
      <w:tr>
        <w:tc>
          <w:tcPr>
            <w:tcW w:type="dxa" w:w="2381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PE1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¿En qué medida la arquitectura de red neuronal recurrente bidireccional con mecanismo de atención mejora la precisión de clasificación de señas LSP respecto a modelos de aprendizaje automático convencionales (Random Forest, Regresión Logística)?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OE1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Diseñar e implementar un modelo clasificador de señas LSP basado en red neuronal recurrente bidireccional con mecanismo de atención, y comparar su F1-macro con los modelos convencionales de referencia bajo el mismo protocolo de validación.</w:t>
            </w:r>
          </w:p>
          <w:p>
            <w:pPr>
              <w:spacing w:before="20" w:after="20"/>
            </w:pPr>
          </w:p>
        </w:tc>
        <w:tc>
          <w:tcPr>
            <w:tcW w:type="dxa" w:w="2494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HE1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La red neuronal recurrente bidireccional con atención alcanzará una F1-macro ≥ 0.80 en el conjunto de prueba interno, superando en al menos 20 puntos porcentuales (pp) al mejor modelo convencional (Random Forest), evaluados bajo idéntico protocolo KFold(5) y partición test 15%.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VI: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Arquitectura del modelo de clasificación</w:t>
              <w:br/>
              <w:t>(tipo de red, n.° capas, unidades ocultas, regularización, optimizador, función de pérdida)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VD: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Precisión de clasificación de señas LSP</w:t>
              <w:br/>
              <w:t>(F1-macro en conjunto de prueba)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Control: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Misma partición train/val/test (70/15/15); extractor de características fijo (MediaPipe Holistic, 150 dim × 30 frames); semilla aleatoria fija</w:t>
            </w:r>
          </w:p>
          <w:p>
            <w:pPr>
              <w:spacing w:before="20" w:after="20"/>
            </w:pPr>
          </w:p>
        </w:tc>
        <w:tc>
          <w:tcPr>
            <w:tcW w:type="dxa" w:w="294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VD1 — F1-macro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Def. operacional: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Promedio no ponderado del F1-score por clase (media armónica de precisión y recall), calculado en el conjunto de prueba independiente (N ≈ 626 muestras, 15% del total).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Indicador: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F1-macro ∈ [0, 1]  (umbral de éxito: ≥ 0.80)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Escala: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Razón</w:t>
              <w:br/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>VI — Tipo de modelo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Def. operacional: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Variable categórica: {RF, LogReg, LSTM-Bidir+Attn}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Indicador: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Etiqueta del modelo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Escala: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Nominal</w:t>
            </w:r>
          </w:p>
          <w:p>
            <w:pPr>
              <w:spacing w:before="20" w:after="20"/>
            </w:pPr>
          </w:p>
        </w:tc>
        <w:tc>
          <w:tcPr>
            <w:tcW w:type="dxa" w:w="2721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Enfoque: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Cuantitativo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Tipo: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Experimental comparativo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Diseño: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Grupos de comparación: modelo DL vs. baselines ML (RF, LogReg)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Muestra: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4 176 muestras, 482 clases; KFold(5) estratificado + test holdout 15%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Técnicas: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Optimización HPO con Optuna (TPE, 50 trials), label smoothing, calibración Temperature Scaling; métrica principal F1-macro; prueba de significancia Wilcoxon (p &lt; 0.05) sobre 5 folds</w:t>
            </w:r>
          </w:p>
          <w:p>
            <w:pPr>
              <w:spacing w:before="20" w:after="20"/>
            </w:pPr>
          </w:p>
        </w:tc>
      </w:tr>
      <w:tr>
        <w:tc>
          <w:tcPr>
            <w:tcW w:type="dxa" w:w="2381"/>
            <w:shd w:val="clear" w:color="auto" w:fill="F2F8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PE2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¿En qué medida el pipeline de captura de puntos clave corporales y el módulo de inferencia del sistema garantizan una latencia suficiente para la comunicación en tiempo real con el usuario sordo?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F2F8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OE2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Optimizar el pipeline de captura de landmarks corporales y el módulo de inferencia para lograr una latencia total ≤ 200 ms por seña y un throughput ≥ 24 FPS en hardware estándar (CPU de gama media, sin GPU).</w:t>
            </w:r>
          </w:p>
          <w:p>
            <w:pPr>
              <w:spacing w:before="20" w:after="20"/>
            </w:pPr>
          </w:p>
        </w:tc>
        <w:tc>
          <w:tcPr>
            <w:tcW w:type="dxa" w:w="2494"/>
            <w:shd w:val="clear" w:color="auto" w:fill="F2F8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HE2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El pipeline optimizado con exportación del modelo a formato de inferencia eficiente (ONNX) alcanzará una latencia media ≤ 200 ms por seña y un throughput ≥ 24 FPS, medidos sobre 100 inferencias consecutivas en hardware CPU estándar (Intel Core i5, 8 GB RAM), cumpliendo el umbral perceptivo de comunicación fluida.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F2F8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VI: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Configuración de optimización del pipeline</w:t>
              <w:br/>
              <w:t>(formato de modelo exportado, tamaño de ventana temporal, resolución de captura de video)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VD: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Latencia de inferencia (ms) y throughput (FPS) del sistema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Control: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Hardware fijo (CPU x86 estándar, sin aceleración GPU); resolución de entrada 640×480; ventana temporal 30 frames; misma arquitectura de red (LSTM Bidir)</w:t>
            </w:r>
          </w:p>
          <w:p>
            <w:pPr>
              <w:spacing w:before="20" w:after="20"/>
            </w:pPr>
          </w:p>
        </w:tc>
        <w:tc>
          <w:tcPr>
            <w:tcW w:type="dxa" w:w="2948"/>
            <w:shd w:val="clear" w:color="auto" w:fill="F2F8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VD2a — Latencia de inferencia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Def. operacional: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Tiempo medio (ms) desde la entrada del último frame de la ventana hasta la obtención de la predicción de clase, medido como promedio de 100 inferencias consecutivas.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Indicador: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Latencia media (ms)  (umbral éxito: ≤ 200 ms)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Escala: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Razón</w:t>
              <w:br/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>VD2b — Throughput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Def. operacional: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Número de fotogramas procesados por segundo en el bucle completo captura + extracción + inferencia.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Indicador: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FPS promedio  (umbral éxito: ≥ 24 FPS)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Escala: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Razón</w:t>
            </w:r>
          </w:p>
          <w:p>
            <w:pPr>
              <w:spacing w:before="20" w:after="20"/>
            </w:pPr>
          </w:p>
        </w:tc>
        <w:tc>
          <w:tcPr>
            <w:tcW w:type="dxa" w:w="2721"/>
            <w:shd w:val="clear" w:color="auto" w:fill="F2F8FF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Enfoque: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Cuantitativo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Tipo: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Aplicada – Tecnológica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Diseño: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Comparativo antes/después: modelo PyTorch nativo vs. modelo exportado a ONNX Runtime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Muestra: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100 inferencias consecutivas sobre secuencias de 30 frames; 3 repeticiones para estabilidad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Técnicas: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Benchmarking con time.perf_counter(); exportación ONNX (opset 17); medición en CPU estándar (Intel Core i5); análisis de varianza de latencias (percentil p95)</w:t>
            </w:r>
          </w:p>
          <w:p>
            <w:pPr>
              <w:spacing w:before="20" w:after="20"/>
            </w:pPr>
          </w:p>
        </w:tc>
      </w:tr>
      <w:tr>
        <w:tc>
          <w:tcPr>
            <w:tcW w:type="dxa" w:w="2381"/>
            <w:shd w:val="clear" w:color="auto" w:fill="FFF8E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PE3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¿En qué medida el sistema de traducción LSP mantiene su desempeño de clasificación ante usuarios y condiciones de captura no incluidos durante el entrenamiento (generalización fuera de la muestra)?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FFF8E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OE3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Evaluar la capacidad de generalización del sistema mediante un esquema de validación externa con datos de usuarios y/o condiciones de captura no vistos durante el entrenamiento, cuantificando el dataset shift y la brecha de desempeño fuera de la muestra.</w:t>
            </w:r>
          </w:p>
          <w:p>
            <w:pPr>
              <w:spacing w:before="20" w:after="20"/>
            </w:pPr>
          </w:p>
        </w:tc>
        <w:tc>
          <w:tcPr>
            <w:tcW w:type="dxa" w:w="2494"/>
            <w:shd w:val="clear" w:color="auto" w:fill="FFF8E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HE3 — GENERALIZACIÓN FUERA DE LA MUESTRA</w:t>
              <w:br/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El sistema mantiene una F1-macro ≥ 0.65 en el conjunto de validación externa (holdout de usuarios/contextos no vistos), con una brecha de generalización ΔF1 ≤ 0.15 respecto al conjunto de prueba interno y un Índice de Estabilidad Poblacional (PSI) &lt; 0.20, evidenciando robustez a la variación inter-usuario y a las perturbaciones sintéticas de condiciones de captura (ruido, blur, cambios de iluminación).</w:t>
            </w:r>
          </w:p>
          <w:p>
            <w:pPr>
              <w:spacing w:before="20" w:after="20"/>
            </w:pPr>
          </w:p>
        </w:tc>
        <w:tc>
          <w:tcPr>
            <w:tcW w:type="dxa" w:w="2381"/>
            <w:shd w:val="clear" w:color="auto" w:fill="FFF8E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VI: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Condición de validación externa</w:t>
              <w:br/>
              <w:t>(grupo de usuarios/contexto geográfico no visto; tipo de perturbación sintética: ruido gaussiano, blur, cambio de iluminación)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VD: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Brecha de generalización (ΔF1)</w:t>
              <w:br/>
              <w:t>Índice de Estabilidad Poblacional (PSI)</w:t>
              <w:br/>
              <w:t>Estadístico Kolmogorov-Smirnov (D_KS)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Control: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Modelo fijo sin re-entrenamiento; misma arquitectura y pesos del OE1; protocolo de evaluación estandarizado (F1-macro)</w:t>
            </w:r>
          </w:p>
          <w:p>
            <w:pPr>
              <w:spacing w:before="20" w:after="20"/>
            </w:pPr>
          </w:p>
        </w:tc>
        <w:tc>
          <w:tcPr>
            <w:tcW w:type="dxa" w:w="2948"/>
            <w:shd w:val="clear" w:color="auto" w:fill="FFF8E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>VD3a — Brecha de generalización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Def. operacional: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ΔF1 = F1-macro(prueba interna) − F1-macro(holdout externo); ambos calculados con el mismo modelo sin re-entrenamiento.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Indicador: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ΔF1 ∈ [0, 1]  (éxito: ΔF1 ≤ 0.15)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Escala: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Razón</w:t>
              <w:br/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>VD3b — Dataset Shift (PSI)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Def. operacional: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PSI calculado sobre la distribución de activaciones de la capa oculta final entre conjunto de entrenamiento y holdout externo. Fórmula: PSI = Σ(P_tren − P_hold) · ln(P_tren / P_hold).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Indicador: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PSI (0–0.1 estable; 0.1–0.2 moderado; ≥0.2 severo)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Escala: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Razón</w:t>
              <w:br/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>VD3c — Estadístico KS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Def. operacional: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Distancia KS entre la distribución de puntuaciones de confianza (softmax máx.) en el conjunto de prueba interno y el holdout externo.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Indicador: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D_KS ∈ [0, 1]  (éxito: p-valor &gt; 0.05, diferencia no significativa)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Escala: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Razón</w:t>
            </w:r>
          </w:p>
          <w:p>
            <w:pPr>
              <w:spacing w:before="20" w:after="20"/>
            </w:pPr>
          </w:p>
        </w:tc>
        <w:tc>
          <w:tcPr>
            <w:tcW w:type="dxa" w:w="2721"/>
            <w:shd w:val="clear" w:color="auto" w:fill="FFF8E7"/>
            <w:vAlign w:val="top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</w:rPr>
              <w:t xml:space="preserve">Enfoque: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Cuantitativo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Tipo: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Validación externa – No experimental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Diseño: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Holdout por grupo (Plan A): separación por grupo de usuario/contexto geográfico antes del entrenamiento. Shift sintético (Plan B): perturbaciones controladas sobre señales de entrada (ruido gaussiano σ∈[0.01,0.05], blur Gaussiano k∈{3,5,7}, cambio de iluminación ±30%)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Muestra: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Holdout externo: 20% del dataset total (≈835 muestras) reservado por grupo de usuario antes del entrenamiento. Shift sintético: 500 muestras perturbadas por nivel.</w:t>
              <w:br/>
            </w:r>
          </w:p>
          <w:p>
            <w:pPr>
              <w:spacing w:before="20" w:after="20"/>
            </w:pPr>
            <w:r>
              <w:rPr>
                <w:b/>
                <w:sz w:val="17"/>
              </w:rPr>
              <w:t xml:space="preserve">Técnicas: </w:t>
            </w:r>
          </w:p>
          <w:p>
            <w:pPr>
              <w:spacing w:before="20" w:after="20"/>
            </w:pPr>
            <w:r>
              <w:rPr>
                <w:b w:val="0"/>
                <w:sz w:val="17"/>
              </w:rPr>
              <w:t>Cálculo PSI sobre histogramas de activaciones (10 bins); prueba KS (scipy.stats.ks_2samp); F1-macro en holdout externo; visualización t-SNE de embeddings (comparación distribuciones internas vs. externas)</w:t>
            </w:r>
          </w:p>
          <w:p>
            <w:pPr>
              <w:spacing w:before="20" w:after="20"/>
            </w:pPr>
          </w:p>
        </w:tc>
      </w:tr>
    </w:tbl>
    <w:p/>
    <w:p/>
    <w:p>
      <w:pPr>
        <w:pStyle w:val="Heading1"/>
      </w:pPr>
      <w:r>
        <w:rPr>
          <w:color w:val="16559A"/>
        </w:rPr>
        <w:t>2. PLAN DE GENERALIZACIÓN FUERA DE LA MUESTRA</w:t>
      </w:r>
    </w:p>
    <w:p>
      <w:r>
        <w:rPr>
          <w:sz w:val="20"/>
        </w:rPr>
        <w:t>El presente plan operacionaliza la Hipótesis 3 (HE3). Siguiendo el enfoque de validación externa, se establece que ningún dato del conjunto de holdout puede ser utilizado durante el ajuste de hiperparámetros ni el entrenamiento; el holdout se evalúa una sola vez, como si fuera el "mundo real".</w:t>
      </w:r>
    </w:p>
    <w:p>
      <w:pPr>
        <w:pStyle w:val="Heading2"/>
      </w:pPr>
      <w:r>
        <w:rPr>
          <w:color w:val="1A5C38"/>
        </w:rPr>
        <w:t>2.1  Plan A — Holdout Real (separación por grupo de usuario)</w:t>
      </w:r>
    </w:p>
    <w:p>
      <w:pPr>
        <w:pStyle w:val="ListBullet"/>
      </w:pPr>
      <w:r>
        <w:rPr>
          <w:b/>
          <w:sz w:val="20"/>
        </w:rPr>
        <w:t xml:space="preserve">Estrategia de partición: </w:t>
      </w:r>
      <w:r>
        <w:rPr>
          <w:sz w:val="20"/>
        </w:rPr>
        <w:t>Antes de cualquier entrenamiento, identificar los «intérpretes» o «grupos de usuario» presentes en el dataset LSP. Reservar al menos 2 grupos (≈ 20% del total de muestras) como holdout externo. El 80% restante se utiliza para train/val/test interno con KFold(5) estratificado.</w:t>
      </w:r>
    </w:p>
    <w:p>
      <w:pPr>
        <w:pStyle w:val="ListBullet"/>
      </w:pPr>
      <w:r>
        <w:rPr>
          <w:b/>
          <w:sz w:val="20"/>
        </w:rPr>
        <w:t xml:space="preserve">Criterio de asignación: </w:t>
      </w:r>
      <w:r>
        <w:rPr>
          <w:sz w:val="20"/>
        </w:rPr>
        <w:t>Si el dataset incluye metadatos de hablante (speaker_id), se aplica GroupKFold para que ningún hablante aparezca en train y holdout simultáneamente. Si no hay metadatos de hablante, se separa por contexto geográfico (Lima vs. regiones) o por fecha de captura (antigüo vs. reciente).</w:t>
      </w:r>
    </w:p>
    <w:p>
      <w:pPr>
        <w:pStyle w:val="ListBullet"/>
      </w:pPr>
      <w:r>
        <w:rPr>
          <w:b/>
          <w:sz w:val="20"/>
        </w:rPr>
        <w:t xml:space="preserve">Protocolo de evaluación: </w:t>
      </w:r>
      <w:r>
        <w:rPr>
          <w:sz w:val="20"/>
        </w:rPr>
        <w:t>El modelo entrenado con los 80% internos se aplica directamente al holdout externo. Se miden F1-macro, ΔF1, PSI y D_KS. El holdout se evalúa una única vez al finalizar el desarrollo (no durante el ajuste de hiperparámetros).</w:t>
      </w:r>
    </w:p>
    <w:p>
      <w:pPr>
        <w:pStyle w:val="ListBullet"/>
      </w:pPr>
      <w:r>
        <w:rPr>
          <w:b/>
          <w:sz w:val="20"/>
        </w:rPr>
        <w:t xml:space="preserve">Criterio de éxito: </w:t>
      </w:r>
      <w:r>
        <w:rPr>
          <w:sz w:val="20"/>
        </w:rPr>
        <w:t>F1-macro(holdout) ≥ 0.65 Y ΔF1 ≤ 0.15 Y PSI &lt; 0.20.</w:t>
      </w:r>
    </w:p>
    <w:p>
      <w:pPr>
        <w:pStyle w:val="Heading2"/>
      </w:pPr>
      <w:r>
        <w:rPr>
          <w:color w:val="7B2D00"/>
        </w:rPr>
        <w:t>2.2  Plan B — Alternativa: Shift Sintético</w:t>
      </w:r>
    </w:p>
    <w:p>
      <w:r>
        <w:rPr>
          <w:sz w:val="20"/>
        </w:rPr>
        <w:t>Aplicable cuando no se dispone de un holdout real con nuevos usuarios (situación actual del proyecto). Se generan perturbaciones controladas sobre las señales de entrada (keypoints) para simular variabilidad inter-sesión y degradación de la señal.</w:t>
      </w:r>
    </w:p>
    <w:p>
      <w:pPr>
        <w:pStyle w:val="ListBullet"/>
      </w:pPr>
      <w:r>
        <w:rPr>
          <w:b/>
          <w:sz w:val="20"/>
        </w:rPr>
        <w:t xml:space="preserve">Ruido gaussiano aditivo (σ ∈ {0.01, 0.02, 0.05}): </w:t>
      </w:r>
      <w:r>
        <w:rPr>
          <w:sz w:val="20"/>
        </w:rPr>
        <w:t>Se añade ruido normal N(0, σ²) a cada coordenada (x, y) de los 150 landmarks por frame, simulando temblor de mano o imprecisión de MediaPipe.</w:t>
      </w:r>
    </w:p>
    <w:p>
      <w:pPr>
        <w:pStyle w:val="ListBullet"/>
      </w:pPr>
      <w:r>
        <w:rPr>
          <w:b/>
          <w:sz w:val="20"/>
        </w:rPr>
        <w:t xml:space="preserve">Blur temporal (ventana k ∈ {3, 5, 7} frames): </w:t>
      </w:r>
      <w:r>
        <w:rPr>
          <w:sz w:val="20"/>
        </w:rPr>
        <w:t>Se aplica un filtro de media móvil sobre el eje temporal a las coordenadas de los keypoints, simulando movimientos difuminados por baja resolución de cámara o compresión de video.</w:t>
      </w:r>
    </w:p>
    <w:p>
      <w:pPr>
        <w:pStyle w:val="ListBullet"/>
      </w:pPr>
      <w:r>
        <w:rPr>
          <w:b/>
          <w:sz w:val="20"/>
        </w:rPr>
        <w:t xml:space="preserve">Cambio de escala e iluminación (factor ± 30%): </w:t>
      </w:r>
      <w:r>
        <w:rPr>
          <w:sz w:val="20"/>
        </w:rPr>
        <w:t>Se escalan las coordenadas x/y por un factor aleatorio ∈ [0.7, 1.3] para simular diferencias de distancia al usuario/cámara o cambios en la normalización de la postura corporal.</w:t>
      </w:r>
    </w:p>
    <w:p>
      <w:pPr>
        <w:pStyle w:val="ListBullet"/>
      </w:pPr>
      <w:r>
        <w:rPr>
          <w:b/>
          <w:sz w:val="20"/>
        </w:rPr>
        <w:t xml:space="preserve">Dropouts de landmarks (prob. ∈ {0.05, 0.10, 0.20}): </w:t>
      </w:r>
      <w:r>
        <w:rPr>
          <w:sz w:val="20"/>
        </w:rPr>
        <w:t>Se enmascaran aleatoriamente el 5%, 10% o 20% de los keypoints (reemplazados por 0.0), simulando oclusiones parciales de manos o cuerpo.</w:t>
      </w:r>
    </w:p>
    <w:p>
      <w:pPr>
        <w:pStyle w:val="ListBullet"/>
      </w:pPr>
      <w:r>
        <w:rPr>
          <w:b/>
          <w:sz w:val="20"/>
        </w:rPr>
        <w:t xml:space="preserve">Protocolo: </w:t>
      </w:r>
      <w:r>
        <w:rPr>
          <w:sz w:val="20"/>
        </w:rPr>
        <w:t>Por cada nivel de perturbación, generar 500 secuencias sintéticas del conjunto de prueba interno. Evaluar F1-macro en cada nivel. Reportar curva de degradación F1 vs. intensidad de perturbación.</w:t>
      </w:r>
    </w:p>
    <w:p>
      <w:pPr>
        <w:pStyle w:val="Heading2"/>
      </w:pPr>
      <w:r>
        <w:rPr>
          <w:color w:val="3A1A7B"/>
        </w:rPr>
        <w:t>2.3  Medición del Dataset Shift (PSI y KS)</w:t>
      </w:r>
    </w:p>
    <w:p>
      <w:pPr>
        <w:pStyle w:val="ListBullet"/>
      </w:pPr>
      <w:r>
        <w:rPr>
          <w:b/>
          <w:sz w:val="20"/>
        </w:rPr>
        <w:t xml:space="preserve">Population Stability Index (PSI): </w:t>
      </w:r>
      <w:r>
        <w:rPr>
          <w:sz w:val="20"/>
        </w:rPr>
        <w:t>Se computa PSI = Σᵢ (Pᵢ_ref − Pᵢ_new) · ln(Pᵢ_ref / Pᵢ_new) sobre histogramas de 10 bins de las activaciones de la capa oculta final (hidden state del LSTM). P_ref: distribución del conjunto de entrenamiento; P_new: distribución del holdout externo o sintético. Umbral de aceptación: PSI &lt; 0.10 (estable), 0.10–0.20 (monitorear), ≥ 0.20 (re-entrenamiento necesario).</w:t>
      </w:r>
    </w:p>
    <w:p>
      <w:pPr>
        <w:pStyle w:val="ListBullet"/>
      </w:pPr>
      <w:r>
        <w:rPr>
          <w:b/>
          <w:sz w:val="20"/>
        </w:rPr>
        <w:t xml:space="preserve">Prueba de Kolmogorov-Smirnov (KS): </w:t>
      </w:r>
      <w:r>
        <w:rPr>
          <w:sz w:val="20"/>
        </w:rPr>
        <w:t>Se aplica scipy.stats.ks_2samp sobre la distribución de probabilidades de confianza máxima (max softmax score) entre el conjunto interno y el holdout. Si D_KS &gt; 0.10 con p &lt; 0.05, se concluye shift estadísticamente significativo y se activa el Plan B de re-etiquetado.</w:t>
      </w:r>
    </w:p>
    <w:p>
      <w:pPr>
        <w:pStyle w:val="ListBullet"/>
      </w:pPr>
      <w:r>
        <w:rPr>
          <w:b/>
          <w:sz w:val="20"/>
        </w:rPr>
        <w:t xml:space="preserve">Visualización t-SNE: </w:t>
      </w:r>
      <w:r>
        <w:rPr>
          <w:sz w:val="20"/>
        </w:rPr>
        <w:t>Se proyectan los embeddings (hidden state) del conjunto de entrenamiento y del holdout externo en 2D con t-SNE (perplexity=30, 1000 iteraciones). Se espera solapamiento visual de nubes de puntos por clase si la generalización es robusta.</w:t>
      </w:r>
    </w:p>
    <w:p>
      <w:pPr>
        <w:pStyle w:val="ListBullet"/>
      </w:pPr>
      <w:r>
        <w:rPr>
          <w:b/>
          <w:sz w:val="20"/>
        </w:rPr>
        <w:t xml:space="preserve">Decisión de re-entrenamiento: </w:t>
      </w:r>
      <w:r>
        <w:rPr>
          <w:sz w:val="20"/>
        </w:rPr>
        <w:t>Si PSI ≥ 0.20 O D_KS &gt; 0.20 con p &lt; 0.01, se activa el protocolo de adaptación de dominio: inclusión de muestras del holdout en el conjunto de entrenamiento con validación cruzada de dominio cruzado.</w:t>
      </w:r>
    </w:p>
    <w:p/>
    <w:p>
      <w:pPr>
        <w:pStyle w:val="Heading2"/>
      </w:pPr>
      <w:r>
        <w:rPr>
          <w:color w:val="16559A"/>
        </w:rPr>
        <w:t>2.4  Resumen del Plan de Generalización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2268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252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Perturbación / Partición</w:t>
            </w:r>
          </w:p>
        </w:tc>
        <w:tc>
          <w:tcPr>
            <w:tcW w:type="dxa" w:w="2835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Métrica(s) clave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Plan A — Holdout real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Validación externa real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Separación por grupo de usuario (speaker_id o contexto geográfico)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F1-macro, ΔF1, PSI, D_KS</w:t>
            </w:r>
          </w:p>
        </w:tc>
      </w:tr>
      <w:tr>
        <w:tc>
          <w:tcPr>
            <w:tcW w:type="dxa" w:w="2551"/>
            <w:shd w:val="clear" w:color="auto" w:fill="F2F8FF"/>
          </w:tcPr>
          <w:p>
            <w:r>
              <w:rPr>
                <w:sz w:val="18"/>
              </w:rPr>
              <w:t>Plan B — Ruido gaussiano</w:t>
            </w:r>
          </w:p>
        </w:tc>
        <w:tc>
          <w:tcPr>
            <w:tcW w:type="dxa" w:w="2268"/>
            <w:shd w:val="clear" w:color="auto" w:fill="F2F8FF"/>
          </w:tcPr>
          <w:p>
            <w:r>
              <w:rPr>
                <w:sz w:val="18"/>
              </w:rPr>
              <w:t>Shift sintético</w:t>
            </w:r>
          </w:p>
        </w:tc>
        <w:tc>
          <w:tcPr>
            <w:tcW w:type="dxa" w:w="4252"/>
            <w:shd w:val="clear" w:color="auto" w:fill="F2F8FF"/>
          </w:tcPr>
          <w:p>
            <w:r>
              <w:rPr>
                <w:sz w:val="18"/>
              </w:rPr>
              <w:t>Ruido N(0, σ²) sobre keypoints; σ ∈ {0.01, 0.02, 0.05}</w:t>
            </w:r>
          </w:p>
        </w:tc>
        <w:tc>
          <w:tcPr>
            <w:tcW w:type="dxa" w:w="2835"/>
            <w:shd w:val="clear" w:color="auto" w:fill="F2F8FF"/>
          </w:tcPr>
          <w:p>
            <w:r>
              <w:rPr>
                <w:sz w:val="18"/>
              </w:rPr>
              <w:t>F1-macro por nivel σ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Plan B — Blur temporal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Shift sintético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Media móvil temporal k ∈ {3, 5, 7} frames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F1-macro por nivel k</w:t>
            </w:r>
          </w:p>
        </w:tc>
      </w:tr>
      <w:tr>
        <w:tc>
          <w:tcPr>
            <w:tcW w:type="dxa" w:w="2551"/>
            <w:shd w:val="clear" w:color="auto" w:fill="F2F8FF"/>
          </w:tcPr>
          <w:p>
            <w:r>
              <w:rPr>
                <w:sz w:val="18"/>
              </w:rPr>
              <w:t>Plan B — Dropout landmarks</w:t>
            </w:r>
          </w:p>
        </w:tc>
        <w:tc>
          <w:tcPr>
            <w:tcW w:type="dxa" w:w="2268"/>
            <w:shd w:val="clear" w:color="auto" w:fill="F2F8FF"/>
          </w:tcPr>
          <w:p>
            <w:r>
              <w:rPr>
                <w:sz w:val="18"/>
              </w:rPr>
              <w:t>Shift sintético</w:t>
            </w:r>
          </w:p>
        </w:tc>
        <w:tc>
          <w:tcPr>
            <w:tcW w:type="dxa" w:w="4252"/>
            <w:shd w:val="clear" w:color="auto" w:fill="F2F8FF"/>
          </w:tcPr>
          <w:p>
            <w:r>
              <w:rPr>
                <w:sz w:val="18"/>
              </w:rPr>
              <w:t>Enmascarado aleatorio prob ∈ {5%, 10%, 20%}</w:t>
            </w:r>
          </w:p>
        </w:tc>
        <w:tc>
          <w:tcPr>
            <w:tcW w:type="dxa" w:w="2835"/>
            <w:shd w:val="clear" w:color="auto" w:fill="F2F8FF"/>
          </w:tcPr>
          <w:p>
            <w:r>
              <w:rPr>
                <w:sz w:val="18"/>
              </w:rPr>
              <w:t>F1-macro, curva de degradación</w:t>
            </w:r>
          </w:p>
        </w:tc>
      </w:tr>
    </w:tbl>
    <w:p/>
    <w:p>
      <w:pPr>
        <w:jc w:val="center"/>
      </w:pPr>
      <w:r>
        <w:rPr>
          <w:i/>
          <w:color w:val="888888"/>
          <w:sz w:val="16"/>
        </w:rPr>
        <w:t>Elaborado para la Maestría en Inteligencia Artificial  ·  Lima, 2026  ·  Proyecto LSP → Castellano  |  Sprint 10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