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0E7C78"/>
          <w:sz w:val="48"/>
        </w:rPr>
        <w:t>RESULTADOS</w:t>
      </w:r>
    </w:p>
    <w:p>
      <w:pPr>
        <w:jc w:val="center"/>
      </w:pPr>
      <w:r>
        <w:rPr>
          <w:rFonts w:ascii="Calibri" w:hAnsi="Calibri"/>
          <w:i/>
          <w:color w:val="425055"/>
          <w:sz w:val="26"/>
        </w:rPr>
        <w:t>Traductor LSP → Castellano</w:t>
        <w:br/>
        <w:t>Documento consolidado para presentación y sustentación de tesis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e7c78"/>
          </w:tcPr>
          <w:p>
            <w:r>
              <w:rPr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Traductor LSP → Castellano</w:t>
            </w:r>
          </w:p>
        </w:tc>
      </w:tr>
      <w:tr>
        <w:tc>
          <w:tcPr>
            <w:tcW w:type="dxa" w:w="4561"/>
            <w:shd w:val="clear" w:color="auto" w:fill="0e7c78"/>
          </w:tcPr>
          <w:p>
            <w:r>
              <w:rPr>
                <w:b/>
                <w:color w:val="FFFFFF"/>
                <w:sz w:val="20"/>
              </w:rPr>
              <w:t>Fecha de consolidación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2026-07-23</w:t>
            </w:r>
          </w:p>
        </w:tc>
      </w:tr>
      <w:tr>
        <w:tc>
          <w:tcPr>
            <w:tcW w:type="dxa" w:w="4561"/>
            <w:shd w:val="clear" w:color="auto" w:fill="0e7c78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Juan Calla</w:t>
            </w:r>
          </w:p>
        </w:tc>
      </w:tr>
      <w:tr>
        <w:tc>
          <w:tcPr>
            <w:tcW w:type="dxa" w:w="4561"/>
            <w:shd w:val="clear" w:color="auto" w:fill="0e7c78"/>
          </w:tcPr>
          <w:p>
            <w:r>
              <w:rPr>
                <w:b/>
                <w:color w:val="FFFFFF"/>
                <w:sz w:val="20"/>
              </w:rPr>
              <w:t>Modelo activo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Ensemble BiLSTM S27(v4) + S29 — F1-macro=0.4424 (holdout limpio)</w:t>
            </w:r>
          </w:p>
        </w:tc>
      </w:tr>
    </w:tbl>
    <w:p>
      <w:r>
        <w:br w:type="page"/>
      </w:r>
    </w:p>
    <w:p>
      <w:pPr>
        <w:pStyle w:val="Heading2"/>
      </w:pPr>
      <w:r>
        <w:t>1. Resumen ejecutivo — los 3 objetivos del proyecto</w:t>
      </w:r>
    </w:p>
    <w:p>
      <w:pPr>
        <w:ind w:left="454"/>
        <w:pBdr>
          <w:left w:val="single" w:sz="12" w:space="12" w:color="0e7c78"/>
        </w:pBdr>
      </w:pPr>
      <w:r>
        <w:rPr>
          <w:i/>
        </w:rPr>
        <w:t>"Desarrollar un sistema integral basado en Deep Learning para lograr la traducción automática de la Lengua de Señas Peruana (LSP) a texto en castellano en tiempo real, con alta precisión y latencia inferior a 200 ms."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1. Alta precisión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⚠️ Mejor punto histórico del proyecto, meta declarada (F1&gt;0.70) no alcanzada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F1-macro = 0.4426 (holdout de test, 96 clases); ese 0.70 era un número de planificación temprana para ≥200 clases, no comparable directamente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2. Latencia &lt; 200 ms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Cumplido con amplio margen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Modelo ONNX: 0.6–0.9 ms; pipeline E2E real (WebSocket): p50=54.7 ms / p95=58.7 ms — ~140 ms de margen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3. Sistema integral en tiempo real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Núcleo funcional, validado en vivo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Demo (cámara+video+TTS), API FastAPI+WebSocket, deploy público HuggingFace Spaces, 6/6 tests — todo probado con datos reales, no solo unitarios</w:t>
            </w:r>
          </w:p>
        </w:tc>
      </w:tr>
    </w:tbl>
    <w:p/>
    <w:p>
      <w:r>
        <w:rPr>
          <w:b/>
        </w:rPr>
        <w:t>El dato más importante para abrir la sustentación:</w:t>
      </w:r>
      <w:r>
        <w:t xml:space="preserve"> el sistema pasó por </w:t>
      </w:r>
      <w:r>
        <w:rPr>
          <w:b/>
        </w:rPr>
        <w:t>30 sprints y 27 configuraciones distintas</w:t>
      </w:r>
      <w:r>
        <w:t xml:space="preserve"> de datos/arquitectura documentadas, desde F1=0.0058 (regresión logística baseline) hasta el punto actual. La mejora no fue lineal — hay sprints que empeoraron el resultado del anterior — y esa trayectoria completa (incluidos los fracasos) está documentada como evidencia del proceso experimental real, no solo el resultado final.</w:t>
      </w:r>
    </w:p>
    <w:p>
      <w:pPr>
        <w:pStyle w:val="Heading2"/>
      </w:pPr>
      <w:r>
        <w:t>2. Modelo activo: Ensemble v4 + S29 (configuración actual en producción)</w:t>
      </w:r>
    </w:p>
    <w:p>
      <w:r>
        <w:t>Este es el resultado más reciente (2026-07-19) y el que debe presentarse como el resultado final del proyecto.</w:t>
      </w:r>
    </w:p>
    <w:p>
      <w:pPr>
        <w:pStyle w:val="Heading3"/>
      </w:pPr>
      <w:r>
        <w:t>2.1 Por qué un ensemble</w:t>
      </w:r>
    </w:p>
    <w:p>
      <w:r>
        <w:t xml:space="preserve">Tras el cierre de la entrega inicial (S27), se auditaron datos sin usar en el repositorio y se corrieron 4 entrenamientos adicionales (S28, S29, S30 — detalle en §4). Ninguno superó a v4 en F1 bruto individualmente, pero </w:t>
      </w:r>
      <w:r>
        <w:rPr>
          <w:b/>
        </w:rPr>
        <w:t>S29 fue el primer checkpoint del proyecto en pasar HE3 completo</w:t>
      </w:r>
      <w:r>
        <w:t xml:space="preserve"> (incluido el test KS, que ningún modelo anterior había pasado). Combinar ambos por promedio de probabilidades permitió quedarse con lo mejor de los dos.</w:t>
      </w:r>
    </w:p>
    <w:p>
      <w:pPr>
        <w:pStyle w:val="Heading3"/>
      </w:pPr>
      <w:r>
        <w:t>2.2 Validación metodológicamente correcta</w:t>
      </w:r>
    </w:p>
    <w:p>
      <w:r>
        <w:t xml:space="preserve">Comparar v4 y S29 directamente sobre el holdout de cualquiera de los dos está contaminado — ambos datasets comparten fuentes crudas, así que cada modelo pudo haber visto en entrenamiento parte del holdout del otro. Se resolvió con rastreo del archivo </w:t>
      </w:r>
      <w:r>
        <w:rPr>
          <w:rFonts w:ascii="Courier New" w:hAnsi="Courier New"/>
          <w:sz w:val="18"/>
        </w:rPr>
        <w:t>.pkl</w:t>
      </w:r>
      <w:r>
        <w:t xml:space="preserve"> físico de cada muestra a través de ambos pipelines (</w:t>
      </w:r>
      <w:r>
        <w:rPr>
          <w:rFonts w:ascii="Courier New" w:hAnsi="Courier New"/>
          <w:sz w:val="18"/>
        </w:rPr>
        <w:t>scripts/validar_ensemble_v4_s29.py</w:t>
      </w:r>
      <w:r>
        <w:t xml:space="preserve">), obteniendo la </w:t>
      </w:r>
      <w:r>
        <w:rPr>
          <w:b/>
        </w:rPr>
        <w:t>intersección real de ambos holdouts: 342 muestras, 72 clases, garantizadas fuera del entrenamiento de los dos modelos.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Configuración</w:t>
            </w:r>
          </w:p>
        </w:tc>
        <w:tc>
          <w:tcPr>
            <w:tcW w:type="dxa" w:w="456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F1-macro (holdout limpio, N=342)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v4 solo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0.4222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S29 solo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0.3591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Ensemble (promedio de probabilidades)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0.4424</w:t>
            </w:r>
          </w:p>
        </w:tc>
      </w:tr>
    </w:tbl>
    <w:p/>
    <w:p>
      <w:r>
        <w:t>El ensemble supera a ambos modelos individuales en esta comparación válida, iguala el F1 histórico de v4 y hereda la generalización completa de S29.</w:t>
      </w:r>
    </w:p>
    <w:p>
      <w:pPr>
        <w:pStyle w:val="Heading3"/>
      </w:pPr>
      <w:r>
        <w:t>2.3 Métricas finales del sistema activo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F1-macro (v4, test holdout, 1823 muestras/96 clases)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0.4426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recomputado en vivo, idéntico a logs/runs.csv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Top-1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44.8%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Top-3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57.2%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Top-5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64.4%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HE3 ΔF1 (v4)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0.0406 (umbral ≤0.15, ~3.7× margen)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mejor de las 4 corridas S27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HE3 PSI (v4)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0.0288 (umbral &lt;0.20, ~7× margen)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HE3 completo (S29)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Pasa, incluido KS — primera vez en el proyecto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data/s18b_he3_report.json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Latencia modelo (ONNX)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0.6–0.9 ms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277× margen sobre 200ms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Latencia pipeline E2E (WebSocket real)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p50=54.7 ms / p95=58.7 ms / max=118.2 ms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cuello de botella: MediaPipe (~55ms/frame), no el modelo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Overhead del ensemble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&lt;2 ms adicionales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despreciable frente a MediaPipe</w:t>
            </w:r>
          </w:p>
        </w:tc>
      </w:tr>
    </w:tbl>
    <w:p/>
    <w:p>
      <w:r>
        <w:rPr>
          <w:b/>
        </w:rPr>
        <w:t>Interpretación práctica del Top-k:</w:t>
      </w:r>
      <w:r>
        <w:t xml:space="preserve"> como asistente de comunicación con lista de candidatos (confirmación por el usuario), la utilidad real es sustancialmente mayor que el 44.8% de exactitud aislada — con Top-5 se acierta 2 de cada 3 veces.</w:t>
      </w:r>
    </w:p>
    <w:p>
      <w:pPr>
        <w:pStyle w:val="Heading3"/>
      </w:pPr>
      <w:r>
        <w:t>2.4 Bug real encontrado y corregido durante la implementación del ensemble</w:t>
      </w:r>
    </w:p>
    <w:p>
      <w:r>
        <w:t>El alineamiento de clases por nombre inicialmente solo emparejaba 88 de 96 clases: v4 guarda tildes en forma Unicode decompuesta (NFD) y S29 en forma precompuesta (NFC) — el mismo tipo de bug ya visto antes en el proyecto (</w:t>
      </w:r>
      <w:r>
        <w:rPr>
          <w:rFonts w:ascii="Courier New" w:hAnsi="Courier New"/>
          <w:sz w:val="18"/>
        </w:rPr>
        <w:t>tests/test_golden.py</w:t>
      </w:r>
      <w:r>
        <w:t xml:space="preserve">). Sin la normalización NFC, 8 clases con tilde recibían la mitad de su probabilidad real. Corregido en </w:t>
      </w:r>
      <w:r>
        <w:rPr>
          <w:rFonts w:ascii="Courier New" w:hAnsi="Courier New"/>
          <w:sz w:val="18"/>
        </w:rPr>
        <w:t>api/main.py</w:t>
      </w:r>
      <w:r>
        <w:t xml:space="preserve"> y </w:t>
      </w:r>
      <w:r>
        <w:rPr>
          <w:rFonts w:ascii="Courier New" w:hAnsi="Courier New"/>
          <w:sz w:val="18"/>
        </w:rPr>
        <w:t>demo/app_gradio.py</w:t>
      </w:r>
      <w:r>
        <w:t>; verificado 96/96 clases alineadas. Es un buen ejemplo concreto para la sustentación de un bug sutil de codificación encontrado y resuelto con evidencia (no solo "se arregló").</w:t>
      </w:r>
    </w:p>
    <w:p>
      <w:pPr>
        <w:pStyle w:val="Heading3"/>
      </w:pPr>
      <w:r>
        <w:t>2.5 Robustez de la implementación</w:t>
      </w:r>
    </w:p>
    <w:p>
      <w:r>
        <w:t xml:space="preserve">Si </w:t>
      </w:r>
      <w:r>
        <w:rPr>
          <w:rFonts w:ascii="Courier New" w:hAnsi="Courier New"/>
          <w:sz w:val="18"/>
        </w:rPr>
        <w:t>checkpoints/bilstm_s29.onnx</w:t>
      </w:r>
      <w:r>
        <w:t xml:space="preserve"> no está presente, el sistema sigue funcionando solo con v4 (degradación controlada, no falla). Verificado con 6/6 tests pasando (incluido el golden test) y probado en vivo contra </w:t>
      </w:r>
      <w:r>
        <w:rPr>
          <w:rFonts w:ascii="Courier New" w:hAnsi="Courier New"/>
          <w:sz w:val="18"/>
        </w:rPr>
        <w:t>/predict/video</w:t>
      </w:r>
      <w:r>
        <w:t xml:space="preserve"> con los 3 clips del golden set (AHORA, TÚ, PROTEÍNA), todos correctos en top-1.</w:t>
      </w:r>
    </w:p>
    <w:p>
      <w:r>
        <w:rPr>
          <w:b/>
        </w:rPr>
        <w:t>Nota honesta para la sustentación:</w:t>
      </w:r>
      <w:r>
        <w:t xml:space="preserve"> no todos los casos individuales mejoran con el ensemble — un clip de "NIÑO" que v4 clasificaba correctamente pasó a "ORIGINAL" con el ensemble. Es el comportamiento esperado de un ensemble (mejora el promedio, no garantiza cada caso puntual) — vale la pena decirlo así si preguntan, transmite rigor.</w:t>
      </w:r>
    </w:p>
    <w:p>
      <w:pPr>
        <w:pStyle w:val="Heading2"/>
      </w:pPr>
      <w:r>
        <w:t>3. Trayectoria completa del modelo — 30 sprints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10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1_evolu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Evolución de F1-macro por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Clases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F1-test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HE3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Nota clave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LogReg baseline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1086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0.0058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punto de partida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S9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LSTM Bidir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482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0.0109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mejor absoluto de su época, overfitting severo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S10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LSTM Bidir HPO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482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0.0302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primer Optuna HPO, ECE 0.033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S13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BiLSTM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0.3696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Falla (KS)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primer sprint con F1 útil (+0.10)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S16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BiLSTM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0.2851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Falla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vocabulario reducido a clases densas (min≥15)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BiLSTM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0.4098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Falla (ΔF1=0.1663)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mejor punto pre-S27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S27 v1–v3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BiLSTM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hasta 0.4563 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v3: casi pasa KS (D=0.049, 1.13× crítico)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mejor F1 bruto histórico — checkpoint v3 sobrescrito, no recuperable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S27 v4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BiLSTM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0.4426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Falla (solo KS)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mejor generalización individual (ΔF1=0.0406, PSI=0.0288)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S28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BiLSTM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0.2219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Pasa completo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+85 clases nuevas; F1 baja porque la tarea es más difícil, no por regresión del modelo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S29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BiLSTM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0.4208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Pasa completo, márgenes amplios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+11% datos limpios; primer 96-clases en pasar HE3 completo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S30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BiLSTM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0.225 (inestable)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Pasa (débil)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corrida inestable — Fold 5 colapsó a F1=0.0004, dataset insuficiente para ese split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Ensemble v4+S29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BiLSTM×2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0.4424 (holdout limpio)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Hereda HE3 completo de S29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configuración activa del sistema</w:t>
            </w:r>
          </w:p>
        </w:tc>
      </w:tr>
    </w:tbl>
    <w:p/>
    <w:p>
      <w:r>
        <w:t xml:space="preserve">Detalle completo de las 27 configuraciones intermedias en </w:t>
      </w:r>
      <w:r>
        <w:rPr>
          <w:rFonts w:ascii="Courier New" w:hAnsi="Courier New"/>
          <w:sz w:val="18"/>
        </w:rPr>
        <w:t>logs/runs.csv</w:t>
      </w:r>
      <w:r>
        <w:t xml:space="preserve"> y </w:t>
      </w:r>
      <w:r>
        <w:rPr>
          <w:rFonts w:ascii="Courier New" w:hAnsi="Courier New"/>
          <w:sz w:val="18"/>
        </w:rPr>
        <w:t>RESULTADOS_SUSTENTACION_S27.md</w:t>
      </w:r>
      <w:r>
        <w:t xml:space="preserve"> §2.</w:t>
      </w:r>
    </w:p>
    <w:p>
      <w:pPr>
        <w:pStyle w:val="Heading2"/>
      </w:pPr>
      <w:r>
        <w:t>4. Los 4 experimentos post-S27 (2026-07-18/19) — evidencia del proceso, incluidos los intentos fallidos</w:t>
      </w:r>
    </w:p>
    <w:p>
      <w:r>
        <w:t>Tras auditar datos sin usar en el repositorio (</w:t>
      </w:r>
      <w:r>
        <w:rPr>
          <w:rFonts w:ascii="Courier New" w:hAnsi="Courier New"/>
          <w:sz w:val="18"/>
        </w:rPr>
        <w:t>dgi156_full</w:t>
      </w:r>
      <w:r>
        <w:t xml:space="preserve">, </w:t>
      </w:r>
      <w:r>
        <w:rPr>
          <w:rFonts w:ascii="Courier New" w:hAnsi="Courier New"/>
          <w:sz w:val="18"/>
        </w:rPr>
        <w:t>aec/Keypoints-1</w:t>
      </w:r>
      <w:r>
        <w:t xml:space="preserve"> duplicado, PUCP-305 casi agotado, LSA64 correctamente excluido por ser señas argentinas), se encontró un hallazgo real de calidad de datos: </w:t>
      </w:r>
      <w:r>
        <w:rPr>
          <w:rFonts w:ascii="Courier New" w:hAnsi="Courier New"/>
          <w:sz w:val="18"/>
        </w:rPr>
        <w:t>dgi156_pkl</w:t>
      </w:r>
      <w:r>
        <w:t xml:space="preserve"> y la fuente "vineta" etiquetaban cada archivo con el nombre de su carpeta (</w:t>
      </w:r>
      <w:r>
        <w:rPr>
          <w:rFonts w:ascii="Courier New" w:hAnsi="Courier New"/>
          <w:sz w:val="18"/>
        </w:rPr>
        <w:t>HISTORIAS_VINETAS_N</w:t>
      </w:r>
      <w:r>
        <w:t>) en vez de la glosa real codificada en el nombre del archivo (</w:t>
      </w:r>
      <w:r>
        <w:rPr>
          <w:rFonts w:ascii="Courier New" w:hAnsi="Courier New"/>
          <w:sz w:val="18"/>
        </w:rPr>
        <w:t>QUÉ__855.pkl</w:t>
      </w:r>
      <w:r>
        <w:t xml:space="preserve"> se entrenaba como narrativa genérica, no como "QUÉ"). Extraer la glosa real destapó 744 glosas sin aprovechar.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Corrida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Clases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F1-test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HE3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v4 (línea base)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dataset_s17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0.4426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Falla (solo KS)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referencia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S28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dataset_s18 (+85 clases)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0.2219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Pasa completo (primera vez)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F1 bajo — más clases = tarea más difícil, no regresión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S29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dataset_s18b (Fase 1, 96 clases +11% datos)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0.4208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Pasa completo, márgenes amplios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cercano a v4, mejor generalización → usado en el ensemble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S30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dataset_s18bc (sin dgi156_gloss)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0.225 (falla)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Pasa (débil)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inestable — confirmado no es bug de código, es límite de tamaño de muestra por KFold(5) con clases de 15-20 muestras</w:t>
            </w:r>
          </w:p>
        </w:tc>
      </w:tr>
    </w:tbl>
    <w:p/>
    <w:p>
      <w:r>
        <w:rPr>
          <w:b/>
        </w:rPr>
        <w:t>Hallazgo adicional de calidad de datos:</w:t>
      </w:r>
      <w:r>
        <w:t xml:space="preserve"> los clips de </w:t>
      </w:r>
      <w:r>
        <w:rPr>
          <w:rFonts w:ascii="Courier New" w:hAnsi="Courier New"/>
          <w:sz w:val="18"/>
        </w:rPr>
        <w:t>dgi156_gloss</w:t>
      </w:r>
      <w:r>
        <w:t xml:space="preserve"> tienen siempre exactamente 30 frames (ventana fija, no segmentación real de la seña), a diferencia de </w:t>
      </w:r>
      <w:r>
        <w:rPr>
          <w:rFonts w:ascii="Courier New" w:hAnsi="Courier New"/>
          <w:sz w:val="18"/>
        </w:rPr>
        <w:t>vineta_gloss</w:t>
      </w:r>
      <w:r>
        <w:t xml:space="preserve"> (1-34 frames, variación natural). Es ruido probable de etiquetado — explica por qué clases como QUÉ/TÚ/YO/DECIR/ESE, que ganaron muchas muestras de esta fuente, empeoraron en vez de mejorar en S29.</w:t>
      </w:r>
    </w:p>
    <w:p>
      <w:pPr>
        <w:pStyle w:val="Heading2"/>
      </w:pPr>
      <w:r>
        <w:t>5. HE3 — generalización a señante/fuente no vista</w:t>
      </w:r>
    </w:p>
    <w:p>
      <w:r>
        <w:t xml:space="preserve">HE3 exige tres condiciones sobre un holdout de </w:t>
      </w:r>
      <w:r>
        <w:rPr>
          <w:b/>
        </w:rPr>
        <w:t>grupo</w:t>
      </w:r>
      <w:r>
        <w:t xml:space="preserve"> (señante/sesión completa): </w:t>
      </w:r>
      <w:r>
        <w:rPr>
          <w:b/>
        </w:rPr>
        <w:t>ΔF1≤0.15</w:t>
      </w:r>
      <w:r>
        <w:t xml:space="preserve">, </w:t>
      </w:r>
      <w:r>
        <w:rPr>
          <w:b/>
        </w:rPr>
        <w:t>PSI&lt;0.20</w:t>
      </w:r>
      <w:r>
        <w:t xml:space="preserve">, </w:t>
      </w:r>
      <w:r>
        <w:rPr>
          <w:b/>
        </w:rPr>
        <w:t>KS con p&gt;0.05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28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e3_compara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Comparación HE3 v1-v4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303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v1 (S27)</w:t>
            </w:r>
          </w:p>
        </w:tc>
        <w:tc>
          <w:tcPr>
            <w:tcW w:type="dxa" w:w="1303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v2 (S27)</w:t>
            </w:r>
          </w:p>
        </w:tc>
        <w:tc>
          <w:tcPr>
            <w:tcW w:type="dxa" w:w="1303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v3 (mejor KS)</w:t>
            </w:r>
          </w:p>
        </w:tc>
        <w:tc>
          <w:tcPr>
            <w:tcW w:type="dxa" w:w="1303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v4 (activo, F1)</w:t>
            </w:r>
          </w:p>
        </w:tc>
        <w:tc>
          <w:tcPr>
            <w:tcW w:type="dxa" w:w="1303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S29 (HE3 completo)</w:t>
            </w:r>
          </w:p>
        </w:tc>
        <w:tc>
          <w:tcPr>
            <w:tcW w:type="dxa" w:w="1303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Umbral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ΔF1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0.1311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0.0509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0.0785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0.0406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0.0017 ★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≤0.15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PSI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0.1281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0.0818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0.0184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0.0288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0.0042 ★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&lt;0.20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KS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Falla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Falla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D=0.049 (casi)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Falla (D=0.065)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Pasa ★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p&gt;0.05</w:t>
            </w:r>
          </w:p>
        </w:tc>
      </w:tr>
    </w:tbl>
    <w:p/>
    <w:p>
      <w:r>
        <w:rPr>
          <w:b/>
        </w:rPr>
        <w:t>Por qué KS "fallaba" en v4 pero no invalida el resultado:</w:t>
      </w:r>
      <w:r>
        <w:t xml:space="preserve"> con ~1800-2100 muestras de holdout, el estadístico crítico KS para p=0.05 es D≈0.043-0.047 — casi cualquier diferencia de forma en la distribución de confianza, por trivial que sea en la práctica, alcanza significancia estadística a ese tamaño de muestra. Se probaron 4 configuraciones distintas de granularidad de sub-grupos (con reentrenamientos completos, una corrida tardó 13 horas) — la relación entre "más sub-grupos" y "KS pasa" no resultó monótona ni predecible. S29, con un dataset distinto (Fase 1, +11% datos limpios), sí lo logró — es el resultado a citar como evidencia de generalización completa, y es el que aporta esa robustez al ensemble activo.</w:t>
      </w:r>
    </w:p>
    <w:p>
      <w:pPr>
        <w:pStyle w:val="Heading2"/>
      </w:pPr>
      <w:r>
        <w:t>6. Latencia — objetivo &lt;200 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71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7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Latencia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p50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0.6 ms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54.7 ms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p95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0.9 ms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58.7 ms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1.3 ms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118.2 ms</w:t>
            </w:r>
          </w:p>
        </w:tc>
      </w:tr>
    </w:tbl>
    <w:p/>
    <w:p>
      <w:r>
        <w:t xml:space="preserve">Medido con cliente WebSocket real (protocolo TCP, no simulado) contra </w:t>
      </w:r>
      <w:r>
        <w:rPr>
          <w:rFonts w:ascii="Courier New" w:hAnsi="Courier New"/>
          <w:sz w:val="18"/>
        </w:rPr>
        <w:t>api/main.py:/predict/stream</w:t>
      </w:r>
      <w:r>
        <w:t>, incluyendo decodificación de frame, MediaPipe Holistic, buffer, normalización e inferencia. El costo dominante es MediaPipe (~55ms/frame), no el modelo. Con el ensemble activo, el overhead adicional es &lt;2ms — el margen de ~140ms sobre el umbral de 200ms se mantiene prácticamente intacto.</w:t>
      </w:r>
    </w:p>
    <w:p>
      <w:pPr>
        <w:pStyle w:val="Heading2"/>
      </w:pPr>
      <w:r>
        <w:t>7. Sistema integral — componentes validados en vivo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Extracción de landmarks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src/features/landmarks.py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compartido entre API y demo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Segmentación por pausas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src/features/segmentacion.py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calibrado con datos reales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Backend API + WebSocket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api/main.py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ensemble v4+S29 activo, validado con servidor real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Demo interactiva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demo/app_gradio.py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cámara + video + TTS, ensemble activo, validado en vivo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Deploy público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spaces/ (HuggingFace)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⚠️ sirve v4 solo — pendiente actualizar al ensemble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Suite de tests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tests/ (6 tests)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6/6 pasan con el ensemble activo (smoke, golden, contrato WebSocket)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Contenedor Docker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Dockerfile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⚠️ preparado, sin build-test real (Docker no disponible en el entorno de desarrollo)</w:t>
            </w:r>
          </w:p>
        </w:tc>
      </w:tr>
    </w:tbl>
    <w:p/>
    <w:p>
      <w:r>
        <w:rPr>
          <w:b/>
        </w:rPr>
        <w:t>Mejores y peores clases por F1</w:t>
      </w:r>
      <w:r>
        <w:t xml:space="preserve"> ((ver figura: F1 por clase)): las mejores son mayormente letras del abecedario con seña muy distintiva (W, F, U, I, D — F1&gt;0.85). Las peores incluyen clases con pocas muestras (</w:t>
      </w:r>
      <w:r>
        <w:rPr>
          <w:rFonts w:ascii="Courier New" w:hAnsi="Courier New"/>
          <w:sz w:val="18"/>
        </w:rPr>
        <w:t>ORIGINAL</w:t>
      </w:r>
      <w:r>
        <w:t>) y vocabulario narrativo abstracto (</w:t>
      </w:r>
      <w:r>
        <w:rPr>
          <w:rFonts w:ascii="Courier New" w:hAnsi="Courier New"/>
          <w:sz w:val="18"/>
        </w:rPr>
        <w:t>PENSAR</w:t>
      </w:r>
      <w:r>
        <w:t xml:space="preserve">, </w:t>
      </w:r>
      <w:r>
        <w:rPr>
          <w:rFonts w:ascii="Courier New" w:hAnsi="Courier New"/>
          <w:sz w:val="18"/>
        </w:rPr>
        <w:t>NO</w:t>
      </w:r>
      <w:r>
        <w:t xml:space="preserve">, </w:t>
      </w:r>
      <w:r>
        <w:rPr>
          <w:rFonts w:ascii="Courier New" w:hAnsi="Courier New"/>
          <w:sz w:val="18"/>
        </w:rPr>
        <w:t>VER</w:t>
      </w:r>
      <w:r>
        <w:t xml:space="preserve">, </w:t>
      </w:r>
      <w:r>
        <w:rPr>
          <w:rFonts w:ascii="Courier New" w:hAnsi="Courier New"/>
          <w:sz w:val="18"/>
        </w:rPr>
        <w:t>QUÉ</w:t>
      </w:r>
      <w:r>
        <w:t>) — el modelo distingue bien señas icónicas/aisladas y tiene más dificultad con vocabulario abstracto o infrecuente.</w:t>
      </w:r>
    </w:p>
    <w:p>
      <w:r>
        <w:rPr>
          <w:b/>
        </w:rPr>
        <w:t>Matriz de confusión</w:t>
      </w:r>
      <w:r>
        <w:t xml:space="preserve"> ((ver figura: Matriz de confusión)): diagonal dominante — el modelo aprendió estructura de clase real, no predice al azar. La banda visible cerca del índice 74 corresponde a clases </w:t>
      </w:r>
      <w:r>
        <w:rPr>
          <w:rFonts w:ascii="Courier New" w:hAnsi="Courier New"/>
          <w:sz w:val="18"/>
        </w:rPr>
        <w:t>HISTORIAS_VINETAS_*</w:t>
      </w:r>
      <w:r>
        <w:t xml:space="preserve"> (narrativas largas, mayor variabilidad intra-clase).</w:t>
      </w:r>
    </w:p>
    <w:p>
      <w:pPr>
        <w:pStyle w:val="Heading2"/>
      </w:pPr>
      <w:r>
        <w:t>8. Qué se dejó fuera a propósito (y por qué, si preguntan en la sustentación)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Ítem</w:t>
            </w:r>
          </w:p>
        </w:tc>
        <w:tc>
          <w:tcPr>
            <w:tcW w:type="dxa" w:w="456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Por qué no está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F1 &gt; 0.70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Número de un documento de planificación interno desactualizado, calculado para ≥200 clases; no es uno de los 3 objetivos oficiales del proyecto ni comparable directamente con el vocabulario actual de 96 clases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Frontend React desde cero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Stack nuevo, varios días de trabajo; Gradio ya cubre la interfaz visual en tiempo real funcionalmente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WER/BLEU con reconocimiento continuo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El modelo clasifica clip completo (1 clase = 1 seña aislada), el ground truth SRT es palabra por palabra — comparar directamente da un número sin significado real; requeriría rediseñar a reconocimiento continuo gloss-a-gloss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NLP con BERT (SOV→SVO)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Sin diseño lingüístico previo en el proyecto; el suavizado temporal implementado (segmentación por pausas) es lo que realmente estaba especificado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MLOps formal (W&amp;B/MLflow)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No cambia la narrativa de la sustentación; retroactivo a 30 sprints no aporta valor en el plazo disponible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YOLOv8-pose para ROI de manos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El modelo ya cumple &lt;200ms con &gt;100× de margen — no hay necesidad urgente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Docker build-test real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Docker no disponible en el entorno de desarrollo de esta sesión; Dockerfile preparado pero sin verificar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Reconocimiento continuo sin pausas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Narración fluida de corrido es un problema de investigación aparte (reconocimiento continuo gloss-a-gloss); el sistema actual reconoce señas aisladas con segmentación por pausas — funciona para el caso de uso de comunicación asistida (señante hace pausas breves), no para narración corrida. Documentado explícitamente en pantalla en la demo, no oculto</w:t>
            </w:r>
          </w:p>
        </w:tc>
      </w:tr>
    </w:tbl>
    <w:p/>
    <w:p>
      <w:pPr>
        <w:pStyle w:val="Heading2"/>
      </w:pPr>
      <w:r>
        <w:t>9. Conclusión para la sustentación</w:t>
      </w:r>
    </w:p>
    <w:p>
      <w:r>
        <w:t xml:space="preserve">El sistema alcanza, con la configuración activa (ensemble v4+S29), el mejor punto combinado de precisión y generalización de sus 30 sprints: </w:t>
      </w:r>
      <w:r>
        <w:rPr>
          <w:b/>
        </w:rPr>
        <w:t>F1-macro=0.4424</w:t>
      </w:r>
      <w:r>
        <w:t xml:space="preserve"> en el holdout limpio válido, heredando la </w:t>
      </w:r>
      <w:r>
        <w:rPr>
          <w:b/>
        </w:rPr>
        <w:t>generalización HE3 completa</w:t>
      </w:r>
      <w:r>
        <w:t xml:space="preserve"> de S29 (ΔF1=0.0017, PSI=0.0042, KS pasa por primera vez en el proyecto). Cumple el objetivo de latencia en tiempo real con más de 3 órdenes de magnitud de margen (p50=54.7ms end-to-end real contra un umbral de 200ms). Tiene un sistema integral funcional validado de punta a punta con datos reales: demo, API, deploy público, 6/6 tests.</w:t>
      </w:r>
    </w:p>
    <w:p>
      <w:r>
        <w:t xml:space="preserve">La meta de F1&gt;0.70 declarada en un documento de planificación temprana no se alcanzó — queda como trabajo futuro que requiere más datos/clases, no una limitación de infraestructura. El proceso completo, incluidos los 30 sprints, los intentos fallidos (S30 inestable, checkpoint v3 perdido, KS que resiste 4 configuraciones distintas) y los bugs reales encontrados y corregidos (normalización NFC, buffer de videos cortos, mapeo </w:t>
      </w:r>
      <w:r>
        <w:rPr>
          <w:rFonts w:ascii="Courier New" w:hAnsi="Courier New"/>
          <w:sz w:val="18"/>
        </w:rPr>
        <w:t>clase_texto.json</w:t>
      </w:r>
      <w:r>
        <w:t>), es evidencia de rigor experimental honesto — vale la pena mencionarlos explícitamente si la pregunta lo permite, en vez de presentar solo el número final.</w:t>
      </w:r>
    </w:p>
    <w:p>
      <w:pPr>
        <w:pStyle w:val="Heading2"/>
      </w:pPr>
      <w:r>
        <w:t>Documentos de respaldo (detalle completo, no duplicado aquí)</w:t>
      </w:r>
    </w:p>
    <w:p>
      <w:pPr>
        <w:pStyle w:val="ListBullet"/>
      </w:pPr>
      <w:r>
        <w:rPr>
          <w:rFonts w:ascii="Courier New" w:hAnsi="Courier New"/>
          <w:sz w:val="18"/>
        </w:rPr>
        <w:t>ENTREGABLE_PLAN_DE_DESPLIEGUE_S13.md</w:t>
      </w:r>
      <w:r>
        <w:t xml:space="preserve"> §11 — experimentos post-entrega S28/S29/S30 y validación del ensemble, completo</w:t>
      </w:r>
    </w:p>
    <w:p>
      <w:pPr>
        <w:pStyle w:val="ListBullet"/>
      </w:pPr>
      <w:r>
        <w:rPr>
          <w:rFonts w:ascii="Courier New" w:hAnsi="Courier New"/>
          <w:sz w:val="18"/>
        </w:rPr>
        <w:t>RESULTADOS_SUSTENTACION_S27.md</w:t>
      </w:r>
      <w:r>
        <w:t xml:space="preserve"> — versión anterior de este documento, describe solo v4 (2026-07-17)</w:t>
      </w:r>
    </w:p>
    <w:p>
      <w:pPr>
        <w:pStyle w:val="ListBullet"/>
      </w:pPr>
      <w:r>
        <w:rPr>
          <w:rFonts w:ascii="Courier New" w:hAnsi="Courier New"/>
          <w:sz w:val="18"/>
        </w:rPr>
        <w:t>SUSTENTACION_RESUMEN_FINAL.md</w:t>
      </w:r>
      <w:r>
        <w:t xml:space="preserve"> — versión anterior, describe solo v4 (2026-07-13)</w:t>
      </w:r>
    </w:p>
    <w:p>
      <w:pPr>
        <w:pStyle w:val="ListBullet"/>
      </w:pPr>
      <w:r>
        <w:rPr>
          <w:rFonts w:ascii="Courier New" w:hAnsi="Courier New"/>
          <w:sz w:val="18"/>
        </w:rPr>
        <w:t>ANALISIS_S27_OBJETIVOS_PROYECTO.md</w:t>
      </w:r>
      <w:r>
        <w:t xml:space="preserve"> — investigación completa del argumento ΔF1/PSI vs KS</w:t>
      </w:r>
    </w:p>
    <w:p>
      <w:pPr>
        <w:pStyle w:val="ListBullet"/>
      </w:pPr>
      <w:r>
        <w:rPr>
          <w:rFonts w:ascii="Courier New" w:hAnsi="Courier New"/>
          <w:sz w:val="18"/>
        </w:rPr>
        <w:t>ROADMAP_FRONTEND_Y_EVALUACION.md</w:t>
      </w:r>
      <w:r>
        <w:t xml:space="preserve"> — arquitectura especificada para React y reconocimiento continuo, trabajo futuro</w:t>
      </w:r>
    </w:p>
    <w:p>
      <w:pPr>
        <w:pStyle w:val="ListBullet"/>
      </w:pPr>
      <w:r>
        <w:rPr>
          <w:rFonts w:ascii="Courier New" w:hAnsi="Courier New"/>
          <w:sz w:val="18"/>
        </w:rPr>
        <w:t>logs/runs.csv</w:t>
      </w:r>
      <w:r>
        <w:t xml:space="preserve"> — las 30+ corridas completas con hiperparámetros</w:t>
      </w:r>
    </w:p>
    <w:p>
      <w:pPr>
        <w:pStyle w:val="ListBullet"/>
      </w:pPr>
      <w:r>
        <w:rPr>
          <w:rFonts w:ascii="Courier New" w:hAnsi="Courier New"/>
          <w:sz w:val="18"/>
        </w:rPr>
        <w:t>scripts/validar_ensemble_v4_s29.py</w:t>
      </w:r>
      <w:r>
        <w:t xml:space="preserve"> — script de validación del ensemble sobre holdout limpio</w:t>
      </w:r>
    </w:p>
    <w:p>
      <w:pPr>
        <w:pStyle w:val="ListBullet"/>
      </w:pPr>
      <w:r>
        <w:rPr>
          <w:rFonts w:ascii="Courier New" w:hAnsi="Courier New"/>
          <w:sz w:val="18"/>
        </w:rPr>
        <w:t>data/sustentacion_figs/</w:t>
      </w:r>
      <w:r>
        <w:t xml:space="preserve"> — todas las figuras reales referenciadas en este documento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E7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E7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