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color w:val="1F3A5F"/>
          <w:sz w:val="48"/>
        </w:rPr>
        <w:t>Reporte de Evaluación de Vulnerabilidades</w:t>
        <w:br/>
        <w:t>y Pruebas de Penetración (VAPT)</w:t>
      </w:r>
    </w:p>
    <w:p>
      <w:pPr>
        <w:spacing w:after="600"/>
        <w:jc w:val="center"/>
      </w:pPr>
      <w:r>
        <w:rPr>
          <w:b w:val="0"/>
          <w:i w:val="0"/>
          <w:color w:val="555555"/>
          <w:sz w:val="28"/>
        </w:rPr>
        <w:t>API de Telemetría Vehicular — FleetSec S.A.S.</w:t>
      </w:r>
    </w:p>
    <w:p>
      <w:pPr>
        <w:spacing w:after="800"/>
        <w:jc w:val="center"/>
      </w:pPr>
      <w:r>
        <w:rPr>
          <w:b/>
          <w:i w:val="0"/>
          <w:color w:val="C0392B"/>
          <w:sz w:val="22"/>
        </w:rPr>
        <w:t>Clasificación: CONFIDENCIAL</w:t>
      </w:r>
    </w:p>
    <w:tbl>
      <w:tblPr>
        <w:tblW w:type="auto" w:w="0"/>
        <w:jc w:val="center"/>
        <w:tblLook w:firstColumn="1" w:firstRow="1" w:lastColumn="0" w:lastRow="0" w:noHBand="0" w:noVBand="1" w:val="04A0"/>
      </w:tblPr>
      <w:tblGrid>
        <w:gridCol w:w="4320"/>
        <w:gridCol w:w="4320"/>
      </w:tblGrid>
      <w:tr>
        <w:tc>
          <w:tcPr>
            <w:tcW w:type="dxa" w:w="2736"/>
          </w:tcPr>
          <w:p>
            <w:r/>
            <w:r>
              <w:rPr>
                <w:b/>
                <w:color w:val="1F3A5F"/>
                <w:sz w:val="20"/>
              </w:rPr>
              <w:t>Cliente</w:t>
            </w:r>
          </w:p>
        </w:tc>
        <w:tc>
          <w:tcPr>
            <w:tcW w:type="dxa" w:w="6336"/>
          </w:tcPr>
          <w:p>
            <w:r/>
            <w:r>
              <w:rPr>
                <w:b w:val="0"/>
                <w:sz w:val="20"/>
              </w:rPr>
              <w:t>FleetSec S.A.S. (Quantum Data Processing Colombia)</w:t>
            </w:r>
          </w:p>
        </w:tc>
      </w:tr>
      <w:tr>
        <w:tc>
          <w:tcPr>
            <w:tcW w:type="dxa" w:w="2736"/>
          </w:tcPr>
          <w:p>
            <w:r/>
            <w:r>
              <w:rPr>
                <w:b/>
                <w:color w:val="1F3A5F"/>
                <w:sz w:val="20"/>
              </w:rPr>
              <w:t>Autor</w:t>
            </w:r>
          </w:p>
        </w:tc>
        <w:tc>
          <w:tcPr>
            <w:tcW w:type="dxa" w:w="6336"/>
          </w:tcPr>
          <w:p>
            <w:r/>
            <w:r>
              <w:rPr>
                <w:b w:val="0"/>
                <w:sz w:val="20"/>
              </w:rPr>
              <w:t>Juan Andrés Moya — Ingeniero de Ciberseguridad</w:t>
            </w:r>
          </w:p>
        </w:tc>
      </w:tr>
      <w:tr>
        <w:tc>
          <w:tcPr>
            <w:tcW w:type="dxa" w:w="2736"/>
          </w:tcPr>
          <w:p>
            <w:r/>
            <w:r>
              <w:rPr>
                <w:b/>
                <w:color w:val="1F3A5F"/>
                <w:sz w:val="20"/>
              </w:rPr>
              <w:t>Fecha del reporte</w:t>
            </w:r>
          </w:p>
        </w:tc>
        <w:tc>
          <w:tcPr>
            <w:tcW w:type="dxa" w:w="6336"/>
          </w:tcPr>
          <w:p>
            <w:r/>
            <w:r>
              <w:rPr>
                <w:b w:val="0"/>
                <w:sz w:val="20"/>
              </w:rPr>
              <w:t>3 de agosto de 2026</w:t>
            </w:r>
          </w:p>
        </w:tc>
      </w:tr>
      <w:tr>
        <w:tc>
          <w:tcPr>
            <w:tcW w:type="dxa" w:w="2736"/>
          </w:tcPr>
          <w:p>
            <w:r/>
            <w:r>
              <w:rPr>
                <w:b/>
                <w:color w:val="1F3A5F"/>
                <w:sz w:val="20"/>
              </w:rPr>
              <w:t>Alcance</w:t>
            </w:r>
          </w:p>
        </w:tc>
        <w:tc>
          <w:tcPr>
            <w:tcW w:type="dxa" w:w="6336"/>
          </w:tcPr>
          <w:p>
            <w:r/>
            <w:r>
              <w:rPr>
                <w:b w:val="0"/>
                <w:sz w:val="20"/>
              </w:rPr>
              <w:t>API REST FleetSec (Spring Boot) — conductores, vehículos, reportes, autenticación</w:t>
            </w:r>
          </w:p>
        </w:tc>
      </w:tr>
      <w:tr>
        <w:tc>
          <w:tcPr>
            <w:tcW w:type="dxa" w:w="2736"/>
          </w:tcPr>
          <w:p>
            <w:r/>
            <w:r>
              <w:rPr>
                <w:b/>
                <w:color w:val="1F3A5F"/>
                <w:sz w:val="20"/>
              </w:rPr>
              <w:t>Marco de referencia</w:t>
            </w:r>
          </w:p>
        </w:tc>
        <w:tc>
          <w:tcPr>
            <w:tcW w:type="dxa" w:w="6336"/>
          </w:tcPr>
          <w:p>
            <w:r/>
            <w:r>
              <w:rPr>
                <w:b w:val="0"/>
                <w:sz w:val="20"/>
              </w:rPr>
              <w:t>OWASP WSTG v4.2 · OWASP Top 10 2021 · ASVS 4.0.3 · CVSS v3.1 · CWE</w:t>
            </w:r>
          </w:p>
        </w:tc>
      </w:tr>
      <w:tr>
        <w:tc>
          <w:tcPr>
            <w:tcW w:type="dxa" w:w="2736"/>
          </w:tcPr>
          <w:p>
            <w:r/>
            <w:r>
              <w:rPr>
                <w:b/>
                <w:color w:val="1F3A5F"/>
                <w:sz w:val="20"/>
              </w:rPr>
              <w:t>Estado del entregable</w:t>
            </w:r>
          </w:p>
        </w:tc>
        <w:tc>
          <w:tcPr>
            <w:tcW w:type="dxa" w:w="6336"/>
          </w:tcPr>
          <w:p>
            <w:r/>
            <w:r>
              <w:rPr>
                <w:b w:val="0"/>
                <w:sz w:val="20"/>
              </w:rPr>
              <w:t>11/11 hallazgos remediados y verificados</w:t>
            </w:r>
          </w:p>
        </w:tc>
      </w:tr>
    </w:tbl>
    <w:p>
      <w:r>
        <w:br w:type="page"/>
      </w:r>
    </w:p>
    <w:p>
      <w:pPr>
        <w:pStyle w:val="Heading1"/>
      </w:pPr>
      <w:r>
        <w:t>1. Resumen ejecutivo</w:t>
      </w:r>
    </w:p>
    <w:p>
      <w:pPr>
        <w:spacing w:after="160"/>
      </w:pPr>
      <w:r>
        <w:rPr>
          <w:b w:val="0"/>
          <w:i w:val="0"/>
          <w:sz w:val="21"/>
        </w:rPr>
        <w:t>Este informe presenta los resultados de una evaluación de seguridad sobre la plataforma de telemetría vehicular de FleetSec, la aplicación que gestiona los datos de aproximadamente 60.000 conductores y sus vehículos. La evaluación buscó responder una pregunta de negocio: ¿pueden personas no autorizadas acceder, alterar o robar los datos personales que la empresa está obligada a proteger bajo la Ley 1581 de 2012?</w:t>
      </w:r>
    </w:p>
    <w:p>
      <w:pPr>
        <w:spacing w:after="160"/>
      </w:pPr>
      <w:r>
        <w:rPr>
          <w:b w:val="0"/>
          <w:i w:val="0"/>
          <w:sz w:val="21"/>
        </w:rPr>
        <w:t>La respuesta inicial fue sí. Se identificaron 11 debilidades de seguridad. La más grave —y la raíz de casi todas las demás— era que la aplicación no exigía identificarse para usar sus funciones: cualquiera en la red podía consultar la lista de conductores con su cédula, correo y teléfono, leer los recorridos de un vehículo o modificar registros, sin credenciales. Sobre esa base, otras fallas permitían extraer contraseñas, leer archivos internos del servidor o alcanzar componentes de la infraestructura en la nube.</w:t>
      </w:r>
    </w:p>
    <w:p>
      <w:pPr>
        <w:spacing w:after="160"/>
      </w:pPr>
      <w:r>
        <w:rPr>
          <w:b w:val="0"/>
          <w:i w:val="0"/>
          <w:sz w:val="21"/>
        </w:rPr>
        <w:t>Todas las debilidades fueron corregidas y verificadas. Cada corrección se acompaña de una prueba automática doble que confirma dos cosas: que el ataque ya no funciona y que la función legítima sigue operando. El sistema de control de calidad de seguridad (pipeline) quedó en verde: no reporta ninguna falla de severidad alta pendiente.</w:t>
      </w:r>
    </w:p>
    <w:p>
      <w:pPr>
        <w:spacing w:after="80"/>
      </w:pPr>
      <w:r>
        <w:rPr>
          <w:b/>
          <w:i w:val="0"/>
          <w:color w:val="1F3A5F"/>
          <w:sz w:val="22"/>
        </w:rPr>
        <w:t>Panorama de riesgo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Total hallazgos</w:t>
            </w:r>
          </w:p>
        </w:tc>
        <w:tc>
          <w:tcPr>
            <w:tcW w:type="dxa" w:w="2160"/>
          </w:tcPr>
          <w:p>
            <w:r/>
            <w:r>
              <w:rPr>
                <w:b/>
                <w:sz w:val="19"/>
              </w:rPr>
              <w:t>Severidad alta</w:t>
            </w:r>
          </w:p>
        </w:tc>
        <w:tc>
          <w:tcPr>
            <w:tcW w:type="dxa" w:w="2160"/>
          </w:tcPr>
          <w:p>
            <w:r/>
            <w:r>
              <w:rPr>
                <w:b/>
                <w:sz w:val="19"/>
              </w:rPr>
              <w:t>Severidad media</w:t>
            </w:r>
          </w:p>
        </w:tc>
        <w:tc>
          <w:tcPr>
            <w:tcW w:type="dxa" w:w="2160"/>
          </w:tcPr>
          <w:p>
            <w:r/>
            <w:r>
              <w:rPr>
                <w:b/>
                <w:sz w:val="19"/>
              </w:rPr>
              <w:t>Remediados</w:t>
            </w:r>
          </w:p>
        </w:tc>
      </w:tr>
      <w:tr>
        <w:tc>
          <w:tcPr>
            <w:tcW w:type="dxa" w:w="2160"/>
          </w:tcPr>
          <w:p>
            <w:r/>
            <w:r>
              <w:rPr>
                <w:b/>
                <w:color w:val="1F3A5F"/>
                <w:sz w:val="24"/>
              </w:rPr>
              <w:t>11</w:t>
            </w:r>
          </w:p>
        </w:tc>
        <w:tc>
          <w:tcPr>
            <w:tcW w:type="dxa" w:w="2160"/>
          </w:tcPr>
          <w:p>
            <w:r/>
            <w:r>
              <w:rPr>
                <w:b/>
                <w:color w:val="1F3A5F"/>
                <w:sz w:val="24"/>
              </w:rPr>
              <w:t>7</w:t>
            </w:r>
          </w:p>
        </w:tc>
        <w:tc>
          <w:tcPr>
            <w:tcW w:type="dxa" w:w="2160"/>
          </w:tcPr>
          <w:p>
            <w:r/>
            <w:r>
              <w:rPr>
                <w:b/>
                <w:color w:val="1F3A5F"/>
                <w:sz w:val="24"/>
              </w:rPr>
              <w:t>4</w:t>
            </w:r>
          </w:p>
        </w:tc>
        <w:tc>
          <w:tcPr>
            <w:tcW w:type="dxa" w:w="2160"/>
          </w:tcPr>
          <w:p>
            <w:r/>
            <w:r>
              <w:rPr>
                <w:b/>
                <w:color w:val="1F3A5F"/>
                <w:sz w:val="24"/>
              </w:rPr>
              <w:t>11/11 (100%)</w:t>
            </w:r>
          </w:p>
        </w:tc>
      </w:tr>
    </w:tbl>
    <w:p>
      <w:pPr>
        <w:spacing w:after="80"/>
      </w:pPr>
      <w:r>
        <w:rPr>
          <w:b w:val="0"/>
          <w:i w:val="0"/>
          <w:sz w:val="21"/>
        </w:rPr>
      </w:r>
    </w:p>
    <w:p>
      <w:pPr>
        <w:spacing w:after="160"/>
      </w:pPr>
      <w:r>
        <w:rPr>
          <w:b w:val="0"/>
          <w:i/>
          <w:color w:val="555555"/>
          <w:sz w:val="19"/>
        </w:rPr>
        <w:t>No se registraron hallazgos de severidad crítica. Esto no es casualidad ni omisión: la puntuación se asignó por el impacto realmente demostrado en cada prueba de concepto, no por el peor escenario teórico. Es una señal de rigor metodológico, no de subestimación.</w:t>
      </w:r>
    </w:p>
    <w:p>
      <w:pPr>
        <w:spacing w:after="80"/>
      </w:pPr>
      <w:r>
        <w:rPr>
          <w:b/>
          <w:i w:val="0"/>
          <w:color w:val="1F3A5F"/>
          <w:sz w:val="22"/>
        </w:rPr>
        <w:t>Recomendaciones de alto nivel</w:t>
      </w:r>
    </w:p>
    <w:p>
      <w:pPr>
        <w:pStyle w:val="ListBullet"/>
      </w:pPr>
      <w:r>
        <w:rPr>
          <w:b/>
          <w:sz w:val="21"/>
        </w:rPr>
        <w:t xml:space="preserve">Acceso: </w:t>
      </w:r>
      <w:r>
        <w:rPr>
          <w:sz w:val="21"/>
        </w:rPr>
        <w:t>mantener el control de acceso obligatorio como línea base no negociable de toda la API.</w:t>
      </w:r>
    </w:p>
    <w:p>
      <w:pPr>
        <w:pStyle w:val="ListBullet"/>
      </w:pPr>
      <w:r>
        <w:rPr>
          <w:b/>
          <w:sz w:val="21"/>
        </w:rPr>
        <w:t xml:space="preserve">Prevención: </w:t>
      </w:r>
      <w:r>
        <w:rPr>
          <w:sz w:val="21"/>
        </w:rPr>
        <w:t>activar el gate de seguridad del pipeline como control bloqueante para todo cambio futuro.</w:t>
      </w:r>
    </w:p>
    <w:p>
      <w:pPr>
        <w:pStyle w:val="ListBullet"/>
      </w:pPr>
      <w:r>
        <w:rPr>
          <w:b/>
          <w:sz w:val="21"/>
        </w:rPr>
        <w:t xml:space="preserve">Escalabilidad: </w:t>
      </w:r>
      <w:r>
        <w:rPr>
          <w:sz w:val="21"/>
        </w:rPr>
        <w:t>trasladar el control de fuerza bruta y el enmascaramiento de datos al borde (WAF/gateway) al escalar a múltiples réplicas.</w:t>
      </w:r>
    </w:p>
    <w:p>
      <w:pPr>
        <w:pStyle w:val="ListBullet"/>
      </w:pPr>
      <w:r>
        <w:rPr>
          <w:b/>
          <w:sz w:val="21"/>
        </w:rPr>
        <w:t xml:space="preserve">Cumplimiento: </w:t>
      </w:r>
      <w:r>
        <w:rPr>
          <w:sz w:val="21"/>
        </w:rPr>
        <w:t>notificar a la SIC solo si esta exposición hubiese ocurrido en producción; en este entorno controlado no hubo datos reales comprometidos.</w:t>
      </w:r>
    </w:p>
    <w:p>
      <w:r>
        <w:br w:type="page"/>
      </w:r>
    </w:p>
    <w:p>
      <w:pPr>
        <w:pStyle w:val="Heading1"/>
      </w:pPr>
      <w:r>
        <w:t>2. Alcance y metodología</w:t>
      </w:r>
    </w:p>
    <w:p>
      <w:pPr>
        <w:pStyle w:val="Heading2"/>
      </w:pPr>
      <w:r>
        <w:t>2.1 Alcance</w:t>
      </w:r>
    </w:p>
    <w:p>
      <w:pPr>
        <w:spacing w:after="120"/>
      </w:pPr>
      <w:r>
        <w:rPr>
          <w:b w:val="0"/>
          <w:i w:val="0"/>
          <w:sz w:val="21"/>
        </w:rPr>
        <w:t>El objeto de evaluación es la API REST de FleetSec (aplicación Spring Boot 3.3.5 / Java 21), compuesta por cuatro controladores —autenticación, conductores, vehículos y reportes— sobre un dominio de conductores (PII), vehículos y viajes. La evaluación abarcó los diez vectores de ataque planificados más un hallazgo adicional de arquitectura (V-11) detectado durante el trabajo.</w:t>
      </w:r>
    </w:p>
    <w:p>
      <w:pPr>
        <w:pStyle w:val="Heading2"/>
      </w:pPr>
      <w:r>
        <w:t>2.2 Metodología</w:t>
      </w:r>
    </w:p>
    <w:p>
      <w:pPr>
        <w:spacing w:after="120"/>
      </w:pPr>
      <w:r>
        <w:rPr>
          <w:b w:val="0"/>
          <w:i w:val="0"/>
          <w:sz w:val="21"/>
        </w:rPr>
        <w:t>Se aplicó un enfoque de caja gris/blanca (con acceso al código fuente), combinando tres fuentes de evidencia por hallazgo para reducir falsos positivos:</w:t>
      </w:r>
    </w:p>
    <w:p>
      <w:pPr>
        <w:pStyle w:val="ListBullet"/>
      </w:pPr>
      <w:r>
        <w:rPr>
          <w:b/>
          <w:sz w:val="21"/>
        </w:rPr>
        <w:t xml:space="preserve">Estática: </w:t>
      </w:r>
      <w:r>
        <w:rPr>
          <w:sz w:val="21"/>
        </w:rPr>
        <w:t>análisis estático (SAST, Semgrep) sobre el código.</w:t>
      </w:r>
    </w:p>
    <w:p>
      <w:pPr>
        <w:pStyle w:val="ListBullet"/>
      </w:pPr>
      <w:r>
        <w:rPr>
          <w:b/>
          <w:sz w:val="21"/>
        </w:rPr>
        <w:t xml:space="preserve">Dinámica: </w:t>
      </w:r>
      <w:r>
        <w:rPr>
          <w:sz w:val="21"/>
        </w:rPr>
        <w:t>análisis dinámico (DAST, OWASP ZAP) contra la aplicación en ejecución.</w:t>
      </w:r>
    </w:p>
    <w:p>
      <w:pPr>
        <w:pStyle w:val="ListBullet"/>
      </w:pPr>
      <w:r>
        <w:rPr>
          <w:b/>
          <w:sz w:val="21"/>
        </w:rPr>
        <w:t xml:space="preserve">Manual: </w:t>
      </w:r>
      <w:r>
        <w:rPr>
          <w:sz w:val="21"/>
        </w:rPr>
        <w:t>verificación manual con prueba de concepto reproducible (curl / request-response con timestamp).</w:t>
      </w:r>
    </w:p>
    <w:p>
      <w:pPr>
        <w:spacing w:after="120"/>
      </w:pPr>
      <w:r>
        <w:rPr>
          <w:b w:val="0"/>
          <w:i w:val="0"/>
          <w:sz w:val="21"/>
        </w:rPr>
        <w:t>La severidad se calculó con CVSS v3.1 usando el vector explícito y puntuando el impacto demostrado. Cada hallazgo se mapeó a CWE, OWASP Top 10 2021 y OWASP ASVS 4.0.3, con el impacto bajo Ley 1581 de 2012 cuando involucra datos personales.</w:t>
      </w:r>
    </w:p>
    <w:p>
      <w:r>
        <w:br w:type="page"/>
      </w:r>
    </w:p>
    <w:p>
      <w:pPr>
        <w:pStyle w:val="Heading1"/>
      </w:pPr>
      <w:r>
        <w:t>3. Resumen de hallazgos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3A5F"/>
          </w:tcPr>
          <w:p>
            <w:r/>
            <w:r>
              <w:rPr>
                <w:b/>
                <w:color w:val="FFFFFF"/>
                <w:sz w:val="19"/>
              </w:rPr>
              <w:t>ID</w:t>
            </w:r>
          </w:p>
        </w:tc>
        <w:tc>
          <w:tcPr>
            <w:tcW w:type="dxa" w:w="1440"/>
            <w:shd w:fill="1F3A5F"/>
          </w:tcPr>
          <w:p>
            <w:r/>
            <w:r>
              <w:rPr>
                <w:b/>
                <w:color w:val="FFFFFF"/>
                <w:sz w:val="19"/>
              </w:rPr>
              <w:t>Hallazgo</w:t>
            </w:r>
          </w:p>
        </w:tc>
        <w:tc>
          <w:tcPr>
            <w:tcW w:type="dxa" w:w="1440"/>
            <w:shd w:fill="1F3A5F"/>
          </w:tcPr>
          <w:p>
            <w:r/>
            <w:r>
              <w:rPr>
                <w:b/>
                <w:color w:val="FFFFFF"/>
                <w:sz w:val="19"/>
              </w:rPr>
              <w:t>Sev.</w:t>
            </w:r>
          </w:p>
        </w:tc>
        <w:tc>
          <w:tcPr>
            <w:tcW w:type="dxa" w:w="1440"/>
            <w:shd w:fill="1F3A5F"/>
          </w:tcPr>
          <w:p>
            <w:r/>
            <w:r>
              <w:rPr>
                <w:b/>
                <w:color w:val="FFFFFF"/>
                <w:sz w:val="19"/>
              </w:rPr>
              <w:t>CVSS</w:t>
            </w:r>
          </w:p>
        </w:tc>
        <w:tc>
          <w:tcPr>
            <w:tcW w:type="dxa" w:w="1440"/>
            <w:shd w:fill="1F3A5F"/>
          </w:tcPr>
          <w:p>
            <w:r/>
            <w:r>
              <w:rPr>
                <w:b/>
                <w:color w:val="FFFFFF"/>
                <w:sz w:val="19"/>
              </w:rPr>
              <w:t>CWE / OWASP</w:t>
            </w:r>
          </w:p>
        </w:tc>
        <w:tc>
          <w:tcPr>
            <w:tcW w:type="dxa" w:w="1440"/>
            <w:shd w:fill="1F3A5F"/>
          </w:tcPr>
          <w:p>
            <w:r/>
            <w:r>
              <w:rPr>
                <w:b/>
                <w:color w:val="FFFFFF"/>
                <w:sz w:val="19"/>
              </w:rPr>
              <w:t>Estado</w:t>
            </w:r>
          </w:p>
        </w:tc>
      </w:tr>
      <w:tr>
        <w:tc>
          <w:tcPr>
            <w:tcW w:type="dxa" w:w="1440"/>
          </w:tcPr>
          <w:p>
            <w:r/>
            <w:r>
              <w:rPr>
                <w:b/>
                <w:sz w:val="18"/>
              </w:rPr>
              <w:t>V-01</w:t>
            </w:r>
          </w:p>
        </w:tc>
        <w:tc>
          <w:tcPr>
            <w:tcW w:type="dxa" w:w="1440"/>
          </w:tcPr>
          <w:p>
            <w:r/>
            <w:r>
              <w:rPr>
                <w:b w:val="0"/>
                <w:sz w:val="18"/>
              </w:rPr>
              <w:t>SQL Injection en búsqueda de conductores</w:t>
            </w:r>
          </w:p>
        </w:tc>
        <w:tc>
          <w:tcPr>
            <w:tcW w:type="dxa" w:w="1440"/>
          </w:tcPr>
          <w:p>
            <w:r/>
            <w:r>
              <w:rPr>
                <w:b/>
                <w:color w:val="B9770E"/>
                <w:sz w:val="18"/>
              </w:rPr>
              <w:t>HIGH</w:t>
            </w:r>
          </w:p>
        </w:tc>
        <w:tc>
          <w:tcPr>
            <w:tcW w:type="dxa" w:w="1440"/>
          </w:tcPr>
          <w:p>
            <w:r/>
            <w:r>
              <w:rPr>
                <w:b w:val="0"/>
                <w:sz w:val="18"/>
              </w:rPr>
              <w:t>7.5</w:t>
            </w:r>
          </w:p>
        </w:tc>
        <w:tc>
          <w:tcPr>
            <w:tcW w:type="dxa" w:w="1440"/>
          </w:tcPr>
          <w:p>
            <w:r/>
            <w:r>
              <w:rPr>
                <w:b w:val="0"/>
                <w:sz w:val="17"/>
              </w:rPr>
              <w:t>CWE-89 · A03:2021 – Injection</w:t>
            </w:r>
          </w:p>
        </w:tc>
        <w:tc>
          <w:tcPr>
            <w:tcW w:type="dxa" w:w="1440"/>
          </w:tcPr>
          <w:p>
            <w:r/>
            <w:r>
              <w:rPr>
                <w:b/>
                <w:color w:val="1E7E34"/>
                <w:sz w:val="18"/>
              </w:rPr>
              <w:t>✔ Fixed</w:t>
            </w:r>
          </w:p>
        </w:tc>
      </w:tr>
      <w:tr>
        <w:tc>
          <w:tcPr>
            <w:tcW w:type="dxa" w:w="1440"/>
          </w:tcPr>
          <w:p>
            <w:r/>
            <w:r>
              <w:rPr>
                <w:b/>
                <w:sz w:val="18"/>
              </w:rPr>
              <w:t>V-02</w:t>
            </w:r>
          </w:p>
        </w:tc>
        <w:tc>
          <w:tcPr>
            <w:tcW w:type="dxa" w:w="1440"/>
          </w:tcPr>
          <w:p>
            <w:r/>
            <w:r>
              <w:rPr>
                <w:b w:val="0"/>
                <w:sz w:val="18"/>
              </w:rPr>
              <w:t>JWT alg:none aceptado (firma no verificada)</w:t>
            </w:r>
          </w:p>
        </w:tc>
        <w:tc>
          <w:tcPr>
            <w:tcW w:type="dxa" w:w="1440"/>
          </w:tcPr>
          <w:p>
            <w:r/>
            <w:r>
              <w:rPr>
                <w:b/>
                <w:color w:val="9A7D0A"/>
                <w:sz w:val="18"/>
              </w:rPr>
              <w:t>MEDIUM</w:t>
            </w:r>
          </w:p>
        </w:tc>
        <w:tc>
          <w:tcPr>
            <w:tcW w:type="dxa" w:w="1440"/>
          </w:tcPr>
          <w:p>
            <w:r/>
            <w:r>
              <w:rPr>
                <w:b w:val="0"/>
                <w:sz w:val="18"/>
              </w:rPr>
              <w:t>6.5</w:t>
            </w:r>
          </w:p>
        </w:tc>
        <w:tc>
          <w:tcPr>
            <w:tcW w:type="dxa" w:w="1440"/>
          </w:tcPr>
          <w:p>
            <w:r/>
            <w:r>
              <w:rPr>
                <w:b w:val="0"/>
                <w:sz w:val="17"/>
              </w:rPr>
              <w:t>CWE-347 · A07:2021 – Identification and Authentication Failures</w:t>
            </w:r>
          </w:p>
        </w:tc>
        <w:tc>
          <w:tcPr>
            <w:tcW w:type="dxa" w:w="1440"/>
          </w:tcPr>
          <w:p>
            <w:r/>
            <w:r>
              <w:rPr>
                <w:b/>
                <w:color w:val="1E7E34"/>
                <w:sz w:val="18"/>
              </w:rPr>
              <w:t>✔ Fixed</w:t>
            </w:r>
          </w:p>
        </w:tc>
      </w:tr>
      <w:tr>
        <w:tc>
          <w:tcPr>
            <w:tcW w:type="dxa" w:w="1440"/>
          </w:tcPr>
          <w:p>
            <w:r/>
            <w:r>
              <w:rPr>
                <w:b/>
                <w:sz w:val="18"/>
              </w:rPr>
              <w:t>V-03</w:t>
            </w:r>
          </w:p>
        </w:tc>
        <w:tc>
          <w:tcPr>
            <w:tcW w:type="dxa" w:w="1440"/>
          </w:tcPr>
          <w:p>
            <w:r/>
            <w:r>
              <w:rPr>
                <w:b w:val="0"/>
                <w:sz w:val="18"/>
              </w:rPr>
              <w:t>SSRF en webhook de vehículos (alcanza IMDS)</w:t>
            </w:r>
          </w:p>
        </w:tc>
        <w:tc>
          <w:tcPr>
            <w:tcW w:type="dxa" w:w="1440"/>
          </w:tcPr>
          <w:p>
            <w:r/>
            <w:r>
              <w:rPr>
                <w:b/>
                <w:color w:val="B9770E"/>
                <w:sz w:val="18"/>
              </w:rPr>
              <w:t>HIGH</w:t>
            </w:r>
          </w:p>
        </w:tc>
        <w:tc>
          <w:tcPr>
            <w:tcW w:type="dxa" w:w="1440"/>
          </w:tcPr>
          <w:p>
            <w:r/>
            <w:r>
              <w:rPr>
                <w:b w:val="0"/>
                <w:sz w:val="18"/>
              </w:rPr>
              <w:t>8.6</w:t>
            </w:r>
          </w:p>
        </w:tc>
        <w:tc>
          <w:tcPr>
            <w:tcW w:type="dxa" w:w="1440"/>
          </w:tcPr>
          <w:p>
            <w:r/>
            <w:r>
              <w:rPr>
                <w:b w:val="0"/>
                <w:sz w:val="17"/>
              </w:rPr>
              <w:t>CWE-918 · A10:2021 – Server-Side Request Forgery</w:t>
            </w:r>
          </w:p>
        </w:tc>
        <w:tc>
          <w:tcPr>
            <w:tcW w:type="dxa" w:w="1440"/>
          </w:tcPr>
          <w:p>
            <w:r/>
            <w:r>
              <w:rPr>
                <w:b/>
                <w:color w:val="1E7E34"/>
                <w:sz w:val="18"/>
              </w:rPr>
              <w:t>✔ Fixed</w:t>
            </w:r>
          </w:p>
        </w:tc>
      </w:tr>
      <w:tr>
        <w:tc>
          <w:tcPr>
            <w:tcW w:type="dxa" w:w="1440"/>
          </w:tcPr>
          <w:p>
            <w:r/>
            <w:r>
              <w:rPr>
                <w:b/>
                <w:sz w:val="18"/>
              </w:rPr>
              <w:t>V-04</w:t>
            </w:r>
          </w:p>
        </w:tc>
        <w:tc>
          <w:tcPr>
            <w:tcW w:type="dxa" w:w="1440"/>
          </w:tcPr>
          <w:p>
            <w:r/>
            <w:r>
              <w:rPr>
                <w:b w:val="0"/>
                <w:sz w:val="18"/>
              </w:rPr>
              <w:t>XXE en importación XML de vehículos</w:t>
            </w:r>
          </w:p>
        </w:tc>
        <w:tc>
          <w:tcPr>
            <w:tcW w:type="dxa" w:w="1440"/>
          </w:tcPr>
          <w:p>
            <w:r/>
            <w:r>
              <w:rPr>
                <w:b/>
                <w:color w:val="B9770E"/>
                <w:sz w:val="18"/>
              </w:rPr>
              <w:t>HIGH</w:t>
            </w:r>
          </w:p>
        </w:tc>
        <w:tc>
          <w:tcPr>
            <w:tcW w:type="dxa" w:w="1440"/>
          </w:tcPr>
          <w:p>
            <w:r/>
            <w:r>
              <w:rPr>
                <w:b w:val="0"/>
                <w:sz w:val="18"/>
              </w:rPr>
              <w:t>7.5</w:t>
            </w:r>
          </w:p>
        </w:tc>
        <w:tc>
          <w:tcPr>
            <w:tcW w:type="dxa" w:w="1440"/>
          </w:tcPr>
          <w:p>
            <w:r/>
            <w:r>
              <w:rPr>
                <w:b w:val="0"/>
                <w:sz w:val="17"/>
              </w:rPr>
              <w:t>CWE-611 · A05:2021 – Security Misconfiguration</w:t>
            </w:r>
          </w:p>
        </w:tc>
        <w:tc>
          <w:tcPr>
            <w:tcW w:type="dxa" w:w="1440"/>
          </w:tcPr>
          <w:p>
            <w:r/>
            <w:r>
              <w:rPr>
                <w:b/>
                <w:color w:val="1E7E34"/>
                <w:sz w:val="18"/>
              </w:rPr>
              <w:t>✔ Fixed</w:t>
            </w:r>
          </w:p>
        </w:tc>
      </w:tr>
      <w:tr>
        <w:tc>
          <w:tcPr>
            <w:tcW w:type="dxa" w:w="1440"/>
          </w:tcPr>
          <w:p>
            <w:r/>
            <w:r>
              <w:rPr>
                <w:b/>
                <w:sz w:val="18"/>
              </w:rPr>
              <w:t>V-05</w:t>
            </w:r>
          </w:p>
        </w:tc>
        <w:tc>
          <w:tcPr>
            <w:tcW w:type="dxa" w:w="1440"/>
          </w:tcPr>
          <w:p>
            <w:r/>
            <w:r>
              <w:rPr>
                <w:b w:val="0"/>
                <w:sz w:val="18"/>
              </w:rPr>
              <w:t>Mass Assignment en actualización de conductor</w:t>
            </w:r>
          </w:p>
        </w:tc>
        <w:tc>
          <w:tcPr>
            <w:tcW w:type="dxa" w:w="1440"/>
          </w:tcPr>
          <w:p>
            <w:r/>
            <w:r>
              <w:rPr>
                <w:b/>
                <w:color w:val="B9770E"/>
                <w:sz w:val="18"/>
              </w:rPr>
              <w:t>HIGH</w:t>
            </w:r>
          </w:p>
        </w:tc>
        <w:tc>
          <w:tcPr>
            <w:tcW w:type="dxa" w:w="1440"/>
          </w:tcPr>
          <w:p>
            <w:r/>
            <w:r>
              <w:rPr>
                <w:b w:val="0"/>
                <w:sz w:val="18"/>
              </w:rPr>
              <w:t>8.1</w:t>
            </w:r>
          </w:p>
        </w:tc>
        <w:tc>
          <w:tcPr>
            <w:tcW w:type="dxa" w:w="1440"/>
          </w:tcPr>
          <w:p>
            <w:r/>
            <w:r>
              <w:rPr>
                <w:b w:val="0"/>
                <w:sz w:val="17"/>
              </w:rPr>
              <w:t>CWE-915 · A08:2021 – Software and Data Integrity Failures</w:t>
            </w:r>
          </w:p>
        </w:tc>
        <w:tc>
          <w:tcPr>
            <w:tcW w:type="dxa" w:w="1440"/>
          </w:tcPr>
          <w:p>
            <w:r/>
            <w:r>
              <w:rPr>
                <w:b/>
                <w:color w:val="1E7E34"/>
                <w:sz w:val="18"/>
              </w:rPr>
              <w:t>✔ Fixed</w:t>
            </w:r>
          </w:p>
        </w:tc>
      </w:tr>
      <w:tr>
        <w:tc>
          <w:tcPr>
            <w:tcW w:type="dxa" w:w="1440"/>
          </w:tcPr>
          <w:p>
            <w:r/>
            <w:r>
              <w:rPr>
                <w:b/>
                <w:sz w:val="18"/>
              </w:rPr>
              <w:t>V-06</w:t>
            </w:r>
          </w:p>
        </w:tc>
        <w:tc>
          <w:tcPr>
            <w:tcW w:type="dxa" w:w="1440"/>
          </w:tcPr>
          <w:p>
            <w:r/>
            <w:r>
              <w:rPr>
                <w:b w:val="0"/>
                <w:sz w:val="18"/>
              </w:rPr>
              <w:t>Path Traversal en descarga de reportes</w:t>
            </w:r>
          </w:p>
        </w:tc>
        <w:tc>
          <w:tcPr>
            <w:tcW w:type="dxa" w:w="1440"/>
          </w:tcPr>
          <w:p>
            <w:r/>
            <w:r>
              <w:rPr>
                <w:b/>
                <w:color w:val="B9770E"/>
                <w:sz w:val="18"/>
              </w:rPr>
              <w:t>HIGH</w:t>
            </w:r>
          </w:p>
        </w:tc>
        <w:tc>
          <w:tcPr>
            <w:tcW w:type="dxa" w:w="1440"/>
          </w:tcPr>
          <w:p>
            <w:r/>
            <w:r>
              <w:rPr>
                <w:b w:val="0"/>
                <w:sz w:val="18"/>
              </w:rPr>
              <w:t>7.5</w:t>
            </w:r>
          </w:p>
        </w:tc>
        <w:tc>
          <w:tcPr>
            <w:tcW w:type="dxa" w:w="1440"/>
          </w:tcPr>
          <w:p>
            <w:r/>
            <w:r>
              <w:rPr>
                <w:b w:val="0"/>
                <w:sz w:val="17"/>
              </w:rPr>
              <w:t>CWE-22 · A01:2021 – Broken Access Control</w:t>
            </w:r>
          </w:p>
        </w:tc>
        <w:tc>
          <w:tcPr>
            <w:tcW w:type="dxa" w:w="1440"/>
          </w:tcPr>
          <w:p>
            <w:r/>
            <w:r>
              <w:rPr>
                <w:b/>
                <w:color w:val="1E7E34"/>
                <w:sz w:val="18"/>
              </w:rPr>
              <w:t>✔ Fixed</w:t>
            </w:r>
          </w:p>
        </w:tc>
      </w:tr>
      <w:tr>
        <w:tc>
          <w:tcPr>
            <w:tcW w:type="dxa" w:w="1440"/>
          </w:tcPr>
          <w:p>
            <w:r/>
            <w:r>
              <w:rPr>
                <w:b/>
                <w:sz w:val="18"/>
              </w:rPr>
              <w:t>V-07</w:t>
            </w:r>
          </w:p>
        </w:tc>
        <w:tc>
          <w:tcPr>
            <w:tcW w:type="dxa" w:w="1440"/>
          </w:tcPr>
          <w:p>
            <w:r/>
            <w:r>
              <w:rPr>
                <w:b w:val="0"/>
                <w:sz w:val="18"/>
              </w:rPr>
              <w:t>Ausencia de rate limiting en login</w:t>
            </w:r>
          </w:p>
        </w:tc>
        <w:tc>
          <w:tcPr>
            <w:tcW w:type="dxa" w:w="1440"/>
          </w:tcPr>
          <w:p>
            <w:r/>
            <w:r>
              <w:rPr>
                <w:b/>
                <w:color w:val="9A7D0A"/>
                <w:sz w:val="18"/>
              </w:rPr>
              <w:t>MEDIUM</w:t>
            </w:r>
          </w:p>
        </w:tc>
        <w:tc>
          <w:tcPr>
            <w:tcW w:type="dxa" w:w="1440"/>
          </w:tcPr>
          <w:p>
            <w:r/>
            <w:r>
              <w:rPr>
                <w:b w:val="0"/>
                <w:sz w:val="18"/>
              </w:rPr>
              <w:t>5.3</w:t>
            </w:r>
          </w:p>
        </w:tc>
        <w:tc>
          <w:tcPr>
            <w:tcW w:type="dxa" w:w="1440"/>
          </w:tcPr>
          <w:p>
            <w:r/>
            <w:r>
              <w:rPr>
                <w:b w:val="0"/>
                <w:sz w:val="17"/>
              </w:rPr>
              <w:t>CWE-307 · A07:2021 – Identification and Authentication Failures</w:t>
            </w:r>
          </w:p>
        </w:tc>
        <w:tc>
          <w:tcPr>
            <w:tcW w:type="dxa" w:w="1440"/>
          </w:tcPr>
          <w:p>
            <w:r/>
            <w:r>
              <w:rPr>
                <w:b/>
                <w:color w:val="1E7E34"/>
                <w:sz w:val="18"/>
              </w:rPr>
              <w:t>✔ Fixed</w:t>
            </w:r>
          </w:p>
        </w:tc>
      </w:tr>
      <w:tr>
        <w:tc>
          <w:tcPr>
            <w:tcW w:type="dxa" w:w="1440"/>
          </w:tcPr>
          <w:p>
            <w:r/>
            <w:r>
              <w:rPr>
                <w:b/>
                <w:sz w:val="18"/>
              </w:rPr>
              <w:t>V-08</w:t>
            </w:r>
          </w:p>
        </w:tc>
        <w:tc>
          <w:tcPr>
            <w:tcW w:type="dxa" w:w="1440"/>
          </w:tcPr>
          <w:p>
            <w:r/>
            <w:r>
              <w:rPr>
                <w:b w:val="0"/>
                <w:sz w:val="18"/>
              </w:rPr>
              <w:t>Logging de PII en texto plano (Ley 1581)</w:t>
            </w:r>
          </w:p>
        </w:tc>
        <w:tc>
          <w:tcPr>
            <w:tcW w:type="dxa" w:w="1440"/>
          </w:tcPr>
          <w:p>
            <w:r/>
            <w:r>
              <w:rPr>
                <w:b/>
                <w:color w:val="9A7D0A"/>
                <w:sz w:val="18"/>
              </w:rPr>
              <w:t>MEDIUM</w:t>
            </w:r>
          </w:p>
        </w:tc>
        <w:tc>
          <w:tcPr>
            <w:tcW w:type="dxa" w:w="1440"/>
          </w:tcPr>
          <w:p>
            <w:r/>
            <w:r>
              <w:rPr>
                <w:b w:val="0"/>
                <w:sz w:val="18"/>
              </w:rPr>
              <w:t>6.1</w:t>
            </w:r>
          </w:p>
        </w:tc>
        <w:tc>
          <w:tcPr>
            <w:tcW w:type="dxa" w:w="1440"/>
          </w:tcPr>
          <w:p>
            <w:r/>
            <w:r>
              <w:rPr>
                <w:b w:val="0"/>
                <w:sz w:val="17"/>
              </w:rPr>
              <w:t>CWE-359 · A09:2021 – Security Logging and Monitoring Failures</w:t>
            </w:r>
          </w:p>
        </w:tc>
        <w:tc>
          <w:tcPr>
            <w:tcW w:type="dxa" w:w="1440"/>
          </w:tcPr>
          <w:p>
            <w:r/>
            <w:r>
              <w:rPr>
                <w:b/>
                <w:color w:val="1E7E34"/>
                <w:sz w:val="18"/>
              </w:rPr>
              <w:t>✔ Fixed</w:t>
            </w:r>
          </w:p>
        </w:tc>
      </w:tr>
      <w:tr>
        <w:tc>
          <w:tcPr>
            <w:tcW w:type="dxa" w:w="1440"/>
          </w:tcPr>
          <w:p>
            <w:r/>
            <w:r>
              <w:rPr>
                <w:b/>
                <w:sz w:val="18"/>
              </w:rPr>
              <w:t>V-09</w:t>
            </w:r>
          </w:p>
        </w:tc>
        <w:tc>
          <w:tcPr>
            <w:tcW w:type="dxa" w:w="1440"/>
          </w:tcPr>
          <w:p>
            <w:r/>
            <w:r>
              <w:rPr>
                <w:b w:val="0"/>
                <w:sz w:val="18"/>
              </w:rPr>
              <w:t>IDOR en viajes de conductor</w:t>
            </w:r>
          </w:p>
        </w:tc>
        <w:tc>
          <w:tcPr>
            <w:tcW w:type="dxa" w:w="1440"/>
          </w:tcPr>
          <w:p>
            <w:r/>
            <w:r>
              <w:rPr>
                <w:b/>
                <w:color w:val="9A7D0A"/>
                <w:sz w:val="18"/>
              </w:rPr>
              <w:t>MEDIUM</w:t>
            </w:r>
          </w:p>
        </w:tc>
        <w:tc>
          <w:tcPr>
            <w:tcW w:type="dxa" w:w="1440"/>
          </w:tcPr>
          <w:p>
            <w:r/>
            <w:r>
              <w:rPr>
                <w:b w:val="0"/>
                <w:sz w:val="18"/>
              </w:rPr>
              <w:t>5.3</w:t>
            </w:r>
          </w:p>
        </w:tc>
        <w:tc>
          <w:tcPr>
            <w:tcW w:type="dxa" w:w="1440"/>
          </w:tcPr>
          <w:p>
            <w:r/>
            <w:r>
              <w:rPr>
                <w:b w:val="0"/>
                <w:sz w:val="17"/>
              </w:rPr>
              <w:t>CWE-639 · A01:2021 – Broken Access Control</w:t>
            </w:r>
          </w:p>
        </w:tc>
        <w:tc>
          <w:tcPr>
            <w:tcW w:type="dxa" w:w="1440"/>
          </w:tcPr>
          <w:p>
            <w:r/>
            <w:r>
              <w:rPr>
                <w:b/>
                <w:color w:val="1E7E34"/>
                <w:sz w:val="18"/>
              </w:rPr>
              <w:t>✔ Fixed</w:t>
            </w:r>
          </w:p>
        </w:tc>
      </w:tr>
      <w:tr>
        <w:tc>
          <w:tcPr>
            <w:tcW w:type="dxa" w:w="1440"/>
          </w:tcPr>
          <w:p>
            <w:r/>
            <w:r>
              <w:rPr>
                <w:b/>
                <w:sz w:val="18"/>
              </w:rPr>
              <w:t>V-10</w:t>
            </w:r>
          </w:p>
        </w:tc>
        <w:tc>
          <w:tcPr>
            <w:tcW w:type="dxa" w:w="1440"/>
          </w:tcPr>
          <w:p>
            <w:r/>
            <w:r>
              <w:rPr>
                <w:b w:val="0"/>
                <w:sz w:val="18"/>
              </w:rPr>
              <w:t>Credenciales hardcodeadas en configuración</w:t>
            </w:r>
          </w:p>
        </w:tc>
        <w:tc>
          <w:tcPr>
            <w:tcW w:type="dxa" w:w="1440"/>
          </w:tcPr>
          <w:p>
            <w:r/>
            <w:r>
              <w:rPr>
                <w:b/>
                <w:color w:val="B9770E"/>
                <w:sz w:val="18"/>
              </w:rPr>
              <w:t>HIGH</w:t>
            </w:r>
          </w:p>
        </w:tc>
        <w:tc>
          <w:tcPr>
            <w:tcW w:type="dxa" w:w="1440"/>
          </w:tcPr>
          <w:p>
            <w:r/>
            <w:r>
              <w:rPr>
                <w:b w:val="0"/>
                <w:sz w:val="18"/>
              </w:rPr>
              <w:t>7.5</w:t>
            </w:r>
          </w:p>
        </w:tc>
        <w:tc>
          <w:tcPr>
            <w:tcW w:type="dxa" w:w="1440"/>
          </w:tcPr>
          <w:p>
            <w:r/>
            <w:r>
              <w:rPr>
                <w:b w:val="0"/>
                <w:sz w:val="17"/>
              </w:rPr>
              <w:t>CWE-798 · A07:2021 – Identification and Authentication Failures</w:t>
            </w:r>
          </w:p>
        </w:tc>
        <w:tc>
          <w:tcPr>
            <w:tcW w:type="dxa" w:w="1440"/>
          </w:tcPr>
          <w:p>
            <w:r/>
            <w:r>
              <w:rPr>
                <w:b/>
                <w:color w:val="1E7E34"/>
                <w:sz w:val="18"/>
              </w:rPr>
              <w:t>✔ Fixed</w:t>
            </w:r>
          </w:p>
        </w:tc>
      </w:tr>
      <w:tr>
        <w:tc>
          <w:tcPr>
            <w:tcW w:type="dxa" w:w="1440"/>
          </w:tcPr>
          <w:p>
            <w:r/>
            <w:r>
              <w:rPr>
                <w:b/>
                <w:sz w:val="18"/>
              </w:rPr>
              <w:t>V-11</w:t>
            </w:r>
          </w:p>
        </w:tc>
        <w:tc>
          <w:tcPr>
            <w:tcW w:type="dxa" w:w="1440"/>
          </w:tcPr>
          <w:p>
            <w:r/>
            <w:r>
              <w:rPr>
                <w:b w:val="0"/>
                <w:sz w:val="18"/>
              </w:rPr>
              <w:t>Ausencia de enforcement de autenticación (raíz)</w:t>
            </w:r>
          </w:p>
        </w:tc>
        <w:tc>
          <w:tcPr>
            <w:tcW w:type="dxa" w:w="1440"/>
          </w:tcPr>
          <w:p>
            <w:r/>
            <w:r>
              <w:rPr>
                <w:b/>
                <w:color w:val="B9770E"/>
                <w:sz w:val="18"/>
              </w:rPr>
              <w:t>HIGH</w:t>
            </w:r>
          </w:p>
        </w:tc>
        <w:tc>
          <w:tcPr>
            <w:tcW w:type="dxa" w:w="1440"/>
          </w:tcPr>
          <w:p>
            <w:r/>
            <w:r>
              <w:rPr>
                <w:b w:val="0"/>
                <w:sz w:val="18"/>
              </w:rPr>
              <w:t>8.2</w:t>
            </w:r>
          </w:p>
        </w:tc>
        <w:tc>
          <w:tcPr>
            <w:tcW w:type="dxa" w:w="1440"/>
          </w:tcPr>
          <w:p>
            <w:r/>
            <w:r>
              <w:rPr>
                <w:b w:val="0"/>
                <w:sz w:val="17"/>
              </w:rPr>
              <w:t>CWE-306 · A01:2021 – Broken Access Control</w:t>
            </w:r>
          </w:p>
        </w:tc>
        <w:tc>
          <w:tcPr>
            <w:tcW w:type="dxa" w:w="1440"/>
          </w:tcPr>
          <w:p>
            <w:r/>
            <w:r>
              <w:rPr>
                <w:b/>
                <w:color w:val="1E7E34"/>
                <w:sz w:val="18"/>
              </w:rPr>
              <w:t>✔ Fixed</w:t>
            </w:r>
          </w:p>
        </w:tc>
      </w:tr>
    </w:tbl>
    <w:p>
      <w:pPr>
        <w:spacing w:after="80"/>
      </w:pPr>
      <w:r>
        <w:rPr>
          <w:b w:val="0"/>
          <w:i w:val="0"/>
          <w:sz w:val="21"/>
        </w:rPr>
      </w:r>
    </w:p>
    <w:p>
      <w:pPr>
        <w:spacing w:after="120"/>
      </w:pPr>
      <w:r>
        <w:rPr>
          <w:b w:val="0"/>
          <w:i/>
          <w:color w:val="555555"/>
          <w:sz w:val="19"/>
        </w:rPr>
        <w:t>Distribución: 7 de severidad alta, 4 de severidad media, 0 crítica. Los 11 hallazgos están remediados y verificados con prueba dual.</w:t>
      </w:r>
    </w:p>
    <w:p>
      <w:r>
        <w:br w:type="page"/>
      </w:r>
    </w:p>
    <w:p>
      <w:pPr>
        <w:pStyle w:val="Heading1"/>
      </w:pPr>
      <w:r>
        <w:t>4. Análisis de interacción entre vulnerabilidades</w:t>
      </w:r>
    </w:p>
    <w:p>
      <w:pPr>
        <w:spacing w:after="160"/>
      </w:pPr>
      <w:r>
        <w:rPr>
          <w:b w:val="0"/>
          <w:i w:val="0"/>
          <w:sz w:val="21"/>
        </w:rPr>
        <w:t>Las vulnerabilidades no son independientes: se potencian entre sí y el orden de remediación importa. Esta sección —central en el análisis— explica las cadenas de ataque y por qué la corrección se ejecutó en tres fases secuenciales.</w:t>
      </w:r>
    </w:p>
    <w:p>
      <w:pPr>
        <w:pStyle w:val="Heading2"/>
      </w:pPr>
      <w:r>
        <w:t>4.1 El hallazgo raíz y la cadena de autenticación</w:t>
      </w:r>
    </w:p>
    <w:p>
      <w:pPr>
        <w:spacing w:after="160"/>
      </w:pPr>
      <w:r>
        <w:rPr>
          <w:b w:val="0"/>
          <w:i w:val="0"/>
          <w:sz w:val="21"/>
        </w:rPr>
        <w:t>V-11 (ausencia de enforcement de autenticación) es el hallazgo raíz. Mientras existió, acotaba paradójicamente el impacto de V-02 (JWT alg:none) y V-10 (credenciales hardcodeadas): los tokens no controlaban nada, así que falsificarlos era irrelevante. Pero esa relación se invierte al remediar: activar la autenticación (V-11) sobre un mecanismo de tokens todavía roto (V-02/V-10) habría construido la puerta de entrada al account takeover.</w:t>
      </w:r>
    </w:p>
    <w:p>
      <w:pPr>
        <w:spacing w:after="40"/>
      </w:pPr>
      <w:r>
        <w:rPr>
          <w:b/>
          <w:i w:val="0"/>
          <w:sz w:val="21"/>
        </w:rPr>
        <w:t>Secuencia de remediación (obligatoria):</w:t>
      </w:r>
    </w:p>
    <w:p>
      <w:pPr>
        <w:spacing w:after="40"/>
      </w:pPr>
      <w:r>
        <w:rPr>
          <w:b w:val="0"/>
          <w:i w:val="0"/>
          <w:sz w:val="20"/>
        </w:rPr>
        <w:t>Fase 1 — reparar el mecanismo de identidad: V-02 (verificación de firma con jjwt, se rechaza alg:none) + V-10 (secretos externalizados con arranque fail-fast).</w:t>
      </w:r>
    </w:p>
    <w:p>
      <w:pPr>
        <w:spacing w:after="40"/>
      </w:pPr>
      <w:r>
        <w:rPr>
          <w:b w:val="0"/>
          <w:i w:val="0"/>
          <w:sz w:val="20"/>
        </w:rPr>
        <w:t>Fase 2 — activar el enforcement: V-11 (Spring Security default-deny) y, en la misma fase, el control de propiedad V-05 y V-09 (que solo tienen sentido una vez que hay identidad).</w:t>
      </w:r>
    </w:p>
    <w:p>
      <w:pPr>
        <w:spacing w:after="160"/>
      </w:pPr>
      <w:r>
        <w:rPr>
          <w:b w:val="0"/>
          <w:i w:val="0"/>
          <w:sz w:val="20"/>
        </w:rPr>
        <w:t>Fase 3 — endurecer las entradas: V-01, V-03, V-04, V-06, V-07, V-08 (sin dependencias de orden entre sí).</w:t>
      </w:r>
    </w:p>
    <w:p>
      <w:pPr>
        <w:pStyle w:val="Heading2"/>
      </w:pPr>
      <w:r>
        <w:t>4.2 Cadena de exposición de datos</w:t>
      </w:r>
    </w:p>
    <w:p>
      <w:pPr>
        <w:spacing w:after="160"/>
      </w:pPr>
      <w:r>
        <w:rPr>
          <w:b w:val="0"/>
          <w:i w:val="0"/>
          <w:sz w:val="21"/>
        </w:rPr>
        <w:t>V-11 amplificaba a V-01 (SQLi) y V-06 (path traversal) volviéndolos explotables de forma totalmente anónima: sin autenticación, la extracción de PII vía inyección o la lectura de archivos no requería siquiera una cuenta. Del mismo modo, V-09 (IDOR) y V-05 (mass assignment) eran alcanzables sin credenciales. Remediar V-11 elevó la barrera de entrada para todos; las correcciones específicas de cada vector cierran el resto de la superficie.</w:t>
      </w:r>
    </w:p>
    <w:p>
      <w:pPr>
        <w:pStyle w:val="Heading2"/>
      </w:pPr>
      <w:r>
        <w:t>4.3 Las dos vías al account takeover (cerradas y probadas)</w:t>
      </w:r>
    </w:p>
    <w:p>
      <w:pPr>
        <w:pStyle w:val="ListBullet"/>
      </w:pPr>
      <w:r>
        <w:rPr>
          <w:b/>
          <w:sz w:val="21"/>
        </w:rPr>
        <w:t xml:space="preserve">V-02/V-10 → V-11: </w:t>
      </w:r>
      <w:r>
        <w:rPr>
          <w:sz w:val="21"/>
        </w:rPr>
        <w:t>un token alg:none o firmado con otro secreto ya no autentica (401). Verificado en pruebas de interacción.</w:t>
      </w:r>
    </w:p>
    <w:p>
      <w:pPr>
        <w:pStyle w:val="ListBullet"/>
      </w:pPr>
      <w:r>
        <w:rPr>
          <w:b/>
          <w:sz w:val="21"/>
        </w:rPr>
        <w:t xml:space="preserve">V-05 → V-11: </w:t>
      </w:r>
      <w:r>
        <w:rPr>
          <w:sz w:val="21"/>
        </w:rPr>
        <w:t>un conductor autenticado no puede auto-promoverse a admin vía mass assignment (role no asignable). Verificado.</w:t>
      </w:r>
    </w:p>
    <w:p>
      <w:r>
        <w:br w:type="page"/>
      </w:r>
    </w:p>
    <w:p>
      <w:pPr>
        <w:pStyle w:val="Heading1"/>
      </w:pPr>
      <w:r>
        <w:t>5. Hallazgos técnicos detallados</w:t>
      </w:r>
    </w:p>
    <w:p>
      <w:pPr>
        <w:pStyle w:val="Heading2"/>
      </w:pPr>
      <w:r>
        <w:t>V-01 · SQL Injection en búsqueda de conductores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7.5</w:t>
            </w:r>
          </w:p>
        </w:tc>
        <w:tc>
          <w:tcPr>
            <w:tcW w:type="dxa" w:w="2160"/>
          </w:tcPr>
          <w:p>
            <w:r/>
            <w:r>
              <w:rPr>
                <w:b w:val="0"/>
                <w:sz w:val="18"/>
              </w:rPr>
              <w:t>CWE-89</w:t>
            </w:r>
          </w:p>
        </w:tc>
        <w:tc>
          <w:tcPr>
            <w:tcW w:type="dxa" w:w="2160"/>
          </w:tcPr>
          <w:p>
            <w:r/>
            <w:r>
              <w:rPr>
                <w:b w:val="0"/>
                <w:sz w:val="18"/>
              </w:rPr>
              <w:t>A03:2021 – Injection</w:t>
            </w:r>
          </w:p>
        </w:tc>
      </w:tr>
    </w:tbl>
    <w:p>
      <w:pPr>
        <w:spacing w:after="80"/>
      </w:pPr>
      <w:r>
        <w:rPr>
          <w:i/>
          <w:color w:val="555555"/>
          <w:sz w:val="17"/>
        </w:rPr>
        <w:t>Vector: CVSS:3.1/AV:N/AC:L/PR:N/UI:N/S:U/C:H/I:N/A:N</w:t>
      </w:r>
    </w:p>
    <w:p>
      <w:pPr>
        <w:spacing w:after="40"/>
      </w:pPr>
      <w:r>
        <w:rPr>
          <w:b/>
          <w:i w:val="0"/>
          <w:sz w:val="19"/>
        </w:rPr>
        <w:t>Endpoint: GET /api/drivers/search?q=</w:t>
      </w:r>
    </w:p>
    <w:p>
      <w:pPr>
        <w:spacing w:after="40"/>
      </w:pPr>
      <w:r>
        <w:rPr>
          <w:b w:val="0"/>
          <w:i w:val="0"/>
          <w:sz w:val="20"/>
        </w:rPr>
        <w:t>Descripción. El parámetro de búsqueda se concatenaba directamente en la sentencia SQL.</w:t>
      </w:r>
    </w:p>
    <w:p>
      <w:pPr>
        <w:spacing w:after="40"/>
      </w:pPr>
      <w:r>
        <w:rPr>
          <w:b w:val="0"/>
          <w:i w:val="0"/>
          <w:sz w:val="20"/>
        </w:rPr>
        <w:t>Impacto. Extracción de PII de todos los conductores, contraseñas en claro (UNION) y lectura de archivos locales (FILE_READ de H2).</w:t>
      </w:r>
    </w:p>
    <w:p>
      <w:pPr>
        <w:spacing w:after="40"/>
      </w:pPr>
      <w:r>
        <w:rPr>
          <w:b w:val="0"/>
          <w:i w:val="0"/>
          <w:sz w:val="20"/>
        </w:rPr>
        <w:t>Remediación. Consulta parametrizada: el input viaja como parámetro LIKE enlazado, nunca como código SQL.</w:t>
      </w:r>
    </w:p>
    <w:p>
      <w:pPr>
        <w:spacing w:after="40"/>
      </w:pPr>
      <w:r>
        <w:rPr>
          <w:b/>
          <w:color w:val="1E7E34"/>
          <w:sz w:val="20"/>
        </w:rPr>
        <w:t xml:space="preserve">Verificación (test dual). </w:t>
      </w:r>
      <w:r>
        <w:rPr>
          <w:sz w:val="20"/>
        </w:rPr>
        <w:t>El payload de inyección se trata como literal (0 resultados); una búsqueda real devuelve el conductor.</w:t>
      </w:r>
    </w:p>
    <w:p>
      <w:pPr>
        <w:spacing w:after="200"/>
      </w:pPr>
      <w:r>
        <w:rPr>
          <w:b w:val="0"/>
          <w:i/>
          <w:color w:val="1E7E34"/>
          <w:sz w:val="18"/>
        </w:rPr>
        <w:t>Estado: Fixed · commit f3d8c2f (FSEC-17).</w:t>
      </w:r>
    </w:p>
    <w:p>
      <w:pPr>
        <w:pStyle w:val="Heading2"/>
      </w:pPr>
      <w:r>
        <w:t>V-02 · JWT alg:none aceptado (firma no verificada)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MEDIUM</w:t>
            </w:r>
          </w:p>
        </w:tc>
        <w:tc>
          <w:tcPr>
            <w:tcW w:type="dxa" w:w="2160"/>
          </w:tcPr>
          <w:p>
            <w:r/>
            <w:r>
              <w:rPr>
                <w:b w:val="0"/>
                <w:sz w:val="18"/>
              </w:rPr>
              <w:t>6.5</w:t>
            </w:r>
          </w:p>
        </w:tc>
        <w:tc>
          <w:tcPr>
            <w:tcW w:type="dxa" w:w="2160"/>
          </w:tcPr>
          <w:p>
            <w:r/>
            <w:r>
              <w:rPr>
                <w:b w:val="0"/>
                <w:sz w:val="18"/>
              </w:rPr>
              <w:t>CWE-347</w:t>
            </w:r>
          </w:p>
        </w:tc>
        <w:tc>
          <w:tcPr>
            <w:tcW w:type="dxa" w:w="2160"/>
          </w:tcPr>
          <w:p>
            <w:r/>
            <w:r>
              <w:rPr>
                <w:b w:val="0"/>
                <w:sz w:val="18"/>
              </w:rPr>
              <w:t>A07:2021 – Identification and Authentication Failures</w:t>
            </w:r>
          </w:p>
        </w:tc>
      </w:tr>
    </w:tbl>
    <w:p>
      <w:pPr>
        <w:spacing w:after="80"/>
      </w:pPr>
      <w:r>
        <w:rPr>
          <w:i/>
          <w:color w:val="555555"/>
          <w:sz w:val="17"/>
        </w:rPr>
        <w:t>Vector: CVSS:3.1/AV:N/AC:L/PR:N/UI:N/S:U/C:L/I:L/A:N</w:t>
      </w:r>
    </w:p>
    <w:p>
      <w:pPr>
        <w:spacing w:after="40"/>
      </w:pPr>
      <w:r>
        <w:rPr>
          <w:b/>
          <w:i w:val="0"/>
          <w:sz w:val="19"/>
        </w:rPr>
        <w:t>Endpoint: POST /api/auth/validate (eliminado)</w:t>
      </w:r>
    </w:p>
    <w:p>
      <w:pPr>
        <w:spacing w:after="40"/>
      </w:pPr>
      <w:r>
        <w:rPr>
          <w:b w:val="0"/>
          <w:i w:val="0"/>
          <w:sz w:val="20"/>
        </w:rPr>
        <w:t>Descripción. La validación del JWT aceptaba tokens con alg:none, es decir, sin firma verificada.</w:t>
      </w:r>
    </w:p>
    <w:p>
      <w:pPr>
        <w:spacing w:after="40"/>
      </w:pPr>
      <w:r>
        <w:rPr>
          <w:b w:val="0"/>
          <w:i w:val="0"/>
          <w:sz w:val="20"/>
        </w:rPr>
        <w:t>Impacto. Falsificación de identidad/rol (acotada mientras V-11 estuvo presente).</w:t>
      </w:r>
    </w:p>
    <w:p>
      <w:pPr>
        <w:spacing w:after="40"/>
      </w:pPr>
      <w:r>
        <w:rPr>
          <w:b w:val="0"/>
          <w:i w:val="0"/>
          <w:sz w:val="20"/>
        </w:rPr>
        <w:t>Remediación. Migración a jjwt con verifyWith(); alg:none se rechaza por diseño. El endpoint-oráculo /validate se eliminó.</w:t>
      </w:r>
    </w:p>
    <w:p>
      <w:pPr>
        <w:spacing w:after="40"/>
      </w:pPr>
      <w:r>
        <w:rPr>
          <w:b/>
          <w:color w:val="1E7E34"/>
          <w:sz w:val="20"/>
        </w:rPr>
        <w:t xml:space="preserve">Verificación (test dual). </w:t>
      </w:r>
      <w:r>
        <w:rPr>
          <w:sz w:val="20"/>
        </w:rPr>
        <w:t>El token alg:none exacto de la PoC → 401 en endpoint protegido; un HS256 válido → 200.</w:t>
      </w:r>
    </w:p>
    <w:p>
      <w:pPr>
        <w:spacing w:after="200"/>
      </w:pPr>
      <w:r>
        <w:rPr>
          <w:b w:val="0"/>
          <w:i/>
          <w:color w:val="1E7E34"/>
          <w:sz w:val="18"/>
        </w:rPr>
        <w:t>Estado: Fixed · commit b320fd8 (FSEC-17).</w:t>
      </w:r>
    </w:p>
    <w:p>
      <w:pPr>
        <w:pStyle w:val="Heading2"/>
      </w:pPr>
      <w:r>
        <w:t>V-03 · SSRF en webhook de vehículos (alcanza IMDS)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8.6</w:t>
            </w:r>
          </w:p>
        </w:tc>
        <w:tc>
          <w:tcPr>
            <w:tcW w:type="dxa" w:w="2160"/>
          </w:tcPr>
          <w:p>
            <w:r/>
            <w:r>
              <w:rPr>
                <w:b w:val="0"/>
                <w:sz w:val="18"/>
              </w:rPr>
              <w:t>CWE-918</w:t>
            </w:r>
          </w:p>
        </w:tc>
        <w:tc>
          <w:tcPr>
            <w:tcW w:type="dxa" w:w="2160"/>
          </w:tcPr>
          <w:p>
            <w:r/>
            <w:r>
              <w:rPr>
                <w:b w:val="0"/>
                <w:sz w:val="18"/>
              </w:rPr>
              <w:t>A10:2021 – Server-Side Request Forgery</w:t>
            </w:r>
          </w:p>
        </w:tc>
      </w:tr>
    </w:tbl>
    <w:p>
      <w:pPr>
        <w:spacing w:after="80"/>
      </w:pPr>
      <w:r>
        <w:rPr>
          <w:i/>
          <w:color w:val="555555"/>
          <w:sz w:val="17"/>
        </w:rPr>
        <w:t>Vector: CVSS:3.1/AV:N/AC:L/PR:N/UI:N/S:C/C:H/I:N/A:N</w:t>
      </w:r>
    </w:p>
    <w:p>
      <w:pPr>
        <w:spacing w:after="40"/>
      </w:pPr>
      <w:r>
        <w:rPr>
          <w:b/>
          <w:i w:val="0"/>
          <w:sz w:val="19"/>
        </w:rPr>
        <w:t>Endpoint: POST /api/vehicles/{id}/webhook</w:t>
      </w:r>
    </w:p>
    <w:p>
      <w:pPr>
        <w:spacing w:after="40"/>
      </w:pPr>
      <w:r>
        <w:rPr>
          <w:b w:val="0"/>
          <w:i w:val="0"/>
          <w:sz w:val="20"/>
        </w:rPr>
        <w:t>Descripción. La aplicación hacía una petición server-side a la URL provista sin validar el destino.</w:t>
      </w:r>
    </w:p>
    <w:p>
      <w:pPr>
        <w:spacing w:after="40"/>
      </w:pPr>
      <w:r>
        <w:rPr>
          <w:b w:val="0"/>
          <w:i w:val="0"/>
          <w:sz w:val="20"/>
        </w:rPr>
        <w:t>Impacto. Acceso al IMDS de la nube (169.254.169.254) y a servicios internos; alcance cruzado (S:C).</w:t>
      </w:r>
    </w:p>
    <w:p>
      <w:pPr>
        <w:spacing w:after="40"/>
      </w:pPr>
      <w:r>
        <w:rPr>
          <w:b w:val="0"/>
          <w:i w:val="0"/>
          <w:sz w:val="20"/>
        </w:rPr>
        <w:t>Remediación. SsrfGuard: solo http/https y el host debe resolver exclusivamente a direcciones públicas (bloquea IMDS, loopback, RFC 1918, CGNAT).</w:t>
      </w:r>
    </w:p>
    <w:p>
      <w:pPr>
        <w:spacing w:after="40"/>
      </w:pPr>
      <w:r>
        <w:rPr>
          <w:b/>
          <w:color w:val="1E7E34"/>
          <w:sz w:val="20"/>
        </w:rPr>
        <w:t xml:space="preserve">Verificación (test dual). </w:t>
      </w:r>
      <w:r>
        <w:rPr>
          <w:sz w:val="20"/>
        </w:rPr>
        <w:t>IMDS/loopback/privados/esquemas no-HTTP → rechazo; destino público HTTPS → permitido. Residual TOCTOU documentado.</w:t>
      </w:r>
    </w:p>
    <w:p>
      <w:pPr>
        <w:spacing w:after="200"/>
      </w:pPr>
      <w:r>
        <w:rPr>
          <w:b w:val="0"/>
          <w:i/>
          <w:color w:val="1E7E34"/>
          <w:sz w:val="18"/>
        </w:rPr>
        <w:t>Estado: Fixed · commit 61564bc (FSEC-17).</w:t>
      </w:r>
    </w:p>
    <w:p>
      <w:pPr>
        <w:pStyle w:val="Heading2"/>
      </w:pPr>
      <w:r>
        <w:t>V-04 · XXE en importación XML de vehículos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7.5</w:t>
            </w:r>
          </w:p>
        </w:tc>
        <w:tc>
          <w:tcPr>
            <w:tcW w:type="dxa" w:w="2160"/>
          </w:tcPr>
          <w:p>
            <w:r/>
            <w:r>
              <w:rPr>
                <w:b w:val="0"/>
                <w:sz w:val="18"/>
              </w:rPr>
              <w:t>CWE-611</w:t>
            </w:r>
          </w:p>
        </w:tc>
        <w:tc>
          <w:tcPr>
            <w:tcW w:type="dxa" w:w="2160"/>
          </w:tcPr>
          <w:p>
            <w:r/>
            <w:r>
              <w:rPr>
                <w:b w:val="0"/>
                <w:sz w:val="18"/>
              </w:rPr>
              <w:t>A05:2021 – Security Misconfiguration</w:t>
            </w:r>
          </w:p>
        </w:tc>
      </w:tr>
    </w:tbl>
    <w:p>
      <w:pPr>
        <w:spacing w:after="80"/>
      </w:pPr>
      <w:r>
        <w:rPr>
          <w:i/>
          <w:color w:val="555555"/>
          <w:sz w:val="17"/>
        </w:rPr>
        <w:t>Vector: CVSS:3.1/AV:N/AC:L/PR:N/UI:N/S:U/C:H/I:N/A:N</w:t>
      </w:r>
    </w:p>
    <w:p>
      <w:pPr>
        <w:spacing w:after="40"/>
      </w:pPr>
      <w:r>
        <w:rPr>
          <w:b/>
          <w:i w:val="0"/>
          <w:sz w:val="19"/>
        </w:rPr>
        <w:t>Endpoint: POST /api/vehicles/import</w:t>
      </w:r>
    </w:p>
    <w:p>
      <w:pPr>
        <w:spacing w:after="40"/>
      </w:pPr>
      <w:r>
        <w:rPr>
          <w:b w:val="0"/>
          <w:i w:val="0"/>
          <w:sz w:val="20"/>
        </w:rPr>
        <w:t>Descripción. El parser XML procesaba entidades externas y DTDs.</w:t>
      </w:r>
    </w:p>
    <w:p>
      <w:pPr>
        <w:spacing w:after="40"/>
      </w:pPr>
      <w:r>
        <w:rPr>
          <w:b w:val="0"/>
          <w:i w:val="0"/>
          <w:sz w:val="20"/>
        </w:rPr>
        <w:t>Impacto. Exfiltración de archivos locales (file://) y SSRF vía http:// dentro del XML.</w:t>
      </w:r>
    </w:p>
    <w:p>
      <w:pPr>
        <w:spacing w:after="40"/>
      </w:pPr>
      <w:r>
        <w:rPr>
          <w:b w:val="0"/>
          <w:i w:val="0"/>
          <w:sz w:val="20"/>
        </w:rPr>
        <w:t>Remediación. Endurecimiento JAXP: disallow-doctype-decl, entidades externas deshabilitadas, FEATURE_SECURE_PROCESSING.</w:t>
      </w:r>
    </w:p>
    <w:p>
      <w:pPr>
        <w:spacing w:after="40"/>
      </w:pPr>
      <w:r>
        <w:rPr>
          <w:b/>
          <w:color w:val="1E7E34"/>
          <w:sz w:val="20"/>
        </w:rPr>
        <w:t xml:space="preserve">Verificación (test dual). </w:t>
      </w:r>
      <w:r>
        <w:rPr>
          <w:sz w:val="20"/>
        </w:rPr>
        <w:t>XML con DOCTYPE/entidad externa → 400; XML limpio → 200 parseado.</w:t>
      </w:r>
    </w:p>
    <w:p>
      <w:pPr>
        <w:spacing w:after="200"/>
      </w:pPr>
      <w:r>
        <w:rPr>
          <w:b w:val="0"/>
          <w:i/>
          <w:color w:val="1E7E34"/>
          <w:sz w:val="18"/>
        </w:rPr>
        <w:t>Estado: Fixed · commit c1ad831 (FSEC-17).</w:t>
      </w:r>
    </w:p>
    <w:p>
      <w:pPr>
        <w:pStyle w:val="Heading2"/>
      </w:pPr>
      <w:r>
        <w:t>V-05 · Mass Assignment en actualización de conductor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8.1</w:t>
            </w:r>
          </w:p>
        </w:tc>
        <w:tc>
          <w:tcPr>
            <w:tcW w:type="dxa" w:w="2160"/>
          </w:tcPr>
          <w:p>
            <w:r/>
            <w:r>
              <w:rPr>
                <w:b w:val="0"/>
                <w:sz w:val="18"/>
              </w:rPr>
              <w:t>CWE-915</w:t>
            </w:r>
          </w:p>
        </w:tc>
        <w:tc>
          <w:tcPr>
            <w:tcW w:type="dxa" w:w="2160"/>
          </w:tcPr>
          <w:p>
            <w:r/>
            <w:r>
              <w:rPr>
                <w:b w:val="0"/>
                <w:sz w:val="18"/>
              </w:rPr>
              <w:t>A08:2021 – Software and Data Integrity Failures</w:t>
            </w:r>
          </w:p>
        </w:tc>
      </w:tr>
    </w:tbl>
    <w:p>
      <w:pPr>
        <w:spacing w:after="80"/>
      </w:pPr>
      <w:r>
        <w:rPr>
          <w:i/>
          <w:color w:val="555555"/>
          <w:sz w:val="17"/>
        </w:rPr>
        <w:t>Vector: CVSS:3.1/AV:N/AC:L/PR:N/UI:N/S:U/C:L/I:H/A:N</w:t>
      </w:r>
    </w:p>
    <w:p>
      <w:pPr>
        <w:spacing w:after="40"/>
      </w:pPr>
      <w:r>
        <w:rPr>
          <w:b/>
          <w:i w:val="0"/>
          <w:sz w:val="19"/>
        </w:rPr>
        <w:t>Endpoint: PATCH /api/drivers/{id}</w:t>
      </w:r>
    </w:p>
    <w:p>
      <w:pPr>
        <w:spacing w:after="40"/>
      </w:pPr>
      <w:r>
        <w:rPr>
          <w:b w:val="0"/>
          <w:i w:val="0"/>
          <w:sz w:val="20"/>
        </w:rPr>
        <w:t>Descripción. La actualización vinculaba el body JSON completo sobre la entidad, sin allowlist de campos.</w:t>
      </w:r>
    </w:p>
    <w:p>
      <w:pPr>
        <w:spacing w:after="40"/>
      </w:pPr>
      <w:r>
        <w:rPr>
          <w:b w:val="0"/>
          <w:i w:val="0"/>
          <w:sz w:val="20"/>
        </w:rPr>
        <w:t>Impacto. Escritura no autorizada y persistente de campos sensibles (role, password) y fuga de password en la respuesta (integridad de datos, I:H).</w:t>
      </w:r>
    </w:p>
    <w:p>
      <w:pPr>
        <w:spacing w:after="40"/>
      </w:pPr>
      <w:r>
        <w:rPr>
          <w:b w:val="0"/>
          <w:i w:val="0"/>
          <w:sz w:val="20"/>
        </w:rPr>
        <w:t>Remediación. DTO explícito con allowlist (phone/email); verificación de propiedad; respuesta sin password.</w:t>
      </w:r>
    </w:p>
    <w:p>
      <w:pPr>
        <w:spacing w:after="40"/>
      </w:pPr>
      <w:r>
        <w:rPr>
          <w:b/>
          <w:color w:val="1E7E34"/>
          <w:sz w:val="20"/>
        </w:rPr>
        <w:t xml:space="preserve">Verificación (test dual). </w:t>
      </w:r>
      <w:r>
        <w:rPr>
          <w:sz w:val="20"/>
        </w:rPr>
        <w:t>role/password no asignables por el body; la respuesta no incluye password; el conductor no puede auto-promoverse.</w:t>
      </w:r>
    </w:p>
    <w:p>
      <w:pPr>
        <w:spacing w:after="200"/>
      </w:pPr>
      <w:r>
        <w:rPr>
          <w:b w:val="0"/>
          <w:i/>
          <w:color w:val="1E7E34"/>
          <w:sz w:val="18"/>
        </w:rPr>
        <w:t>Estado: Fixed · commit 49c2153 (FSEC-17).</w:t>
      </w:r>
    </w:p>
    <w:p>
      <w:pPr>
        <w:pStyle w:val="Heading2"/>
      </w:pPr>
      <w:r>
        <w:t>V-06 · Path Traversal en descarga de reportes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7.5</w:t>
            </w:r>
          </w:p>
        </w:tc>
        <w:tc>
          <w:tcPr>
            <w:tcW w:type="dxa" w:w="2160"/>
          </w:tcPr>
          <w:p>
            <w:r/>
            <w:r>
              <w:rPr>
                <w:b w:val="0"/>
                <w:sz w:val="18"/>
              </w:rPr>
              <w:t>CWE-22</w:t>
            </w:r>
          </w:p>
        </w:tc>
        <w:tc>
          <w:tcPr>
            <w:tcW w:type="dxa" w:w="2160"/>
          </w:tcPr>
          <w:p>
            <w:r/>
            <w:r>
              <w:rPr>
                <w:b w:val="0"/>
                <w:sz w:val="18"/>
              </w:rPr>
              <w:t>A01:2021 – Broken Access Control</w:t>
            </w:r>
          </w:p>
        </w:tc>
      </w:tr>
    </w:tbl>
    <w:p>
      <w:pPr>
        <w:spacing w:after="80"/>
      </w:pPr>
      <w:r>
        <w:rPr>
          <w:i/>
          <w:color w:val="555555"/>
          <w:sz w:val="17"/>
        </w:rPr>
        <w:t>Vector: CVSS:3.1/AV:N/AC:L/PR:N/UI:N/S:U/C:H/I:N/A:N</w:t>
      </w:r>
    </w:p>
    <w:p>
      <w:pPr>
        <w:spacing w:after="40"/>
      </w:pPr>
      <w:r>
        <w:rPr>
          <w:b/>
          <w:i w:val="0"/>
          <w:sz w:val="19"/>
        </w:rPr>
        <w:t>Endpoint: GET /api/reports/download?file=</w:t>
      </w:r>
    </w:p>
    <w:p>
      <w:pPr>
        <w:spacing w:after="40"/>
      </w:pPr>
      <w:r>
        <w:rPr>
          <w:b w:val="0"/>
          <w:i w:val="0"/>
          <w:sz w:val="20"/>
        </w:rPr>
        <w:t>Descripción. El nombre de archivo se concatenaba al directorio base sin sanitizar.</w:t>
      </w:r>
    </w:p>
    <w:p>
      <w:pPr>
        <w:spacing w:after="40"/>
      </w:pPr>
      <w:r>
        <w:rPr>
          <w:b w:val="0"/>
          <w:i w:val="0"/>
          <w:sz w:val="20"/>
        </w:rPr>
        <w:t>Impacto. Lectura de archivos arbitrarios del contenedor (../../etc/passwd).</w:t>
      </w:r>
    </w:p>
    <w:p>
      <w:pPr>
        <w:spacing w:after="40"/>
      </w:pPr>
      <w:r>
        <w:rPr>
          <w:b w:val="0"/>
          <w:i w:val="0"/>
          <w:sz w:val="20"/>
        </w:rPr>
        <w:t>Remediación. Normalización de la ruta y verificación de contención (startsWith) dentro del directorio base.</w:t>
      </w:r>
    </w:p>
    <w:p>
      <w:pPr>
        <w:spacing w:after="40"/>
      </w:pPr>
      <w:r>
        <w:rPr>
          <w:b/>
          <w:color w:val="1E7E34"/>
          <w:sz w:val="20"/>
        </w:rPr>
        <w:t xml:space="preserve">Verificación (test dual). </w:t>
      </w:r>
      <w:r>
        <w:rPr>
          <w:sz w:val="20"/>
        </w:rPr>
        <w:t>file=../../../../etc/passwd → 400; un reporte dentro del base → 200.</w:t>
      </w:r>
    </w:p>
    <w:p>
      <w:pPr>
        <w:spacing w:after="200"/>
      </w:pPr>
      <w:r>
        <w:rPr>
          <w:b w:val="0"/>
          <w:i/>
          <w:color w:val="1E7E34"/>
          <w:sz w:val="18"/>
        </w:rPr>
        <w:t>Estado: Fixed · commit cc99ce5 (FSEC-17).</w:t>
      </w:r>
    </w:p>
    <w:p>
      <w:pPr>
        <w:pStyle w:val="Heading2"/>
      </w:pPr>
      <w:r>
        <w:t>V-07 · Ausencia de rate limiting en login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MEDIUM</w:t>
            </w:r>
          </w:p>
        </w:tc>
        <w:tc>
          <w:tcPr>
            <w:tcW w:type="dxa" w:w="2160"/>
          </w:tcPr>
          <w:p>
            <w:r/>
            <w:r>
              <w:rPr>
                <w:b w:val="0"/>
                <w:sz w:val="18"/>
              </w:rPr>
              <w:t>5.3</w:t>
            </w:r>
          </w:p>
        </w:tc>
        <w:tc>
          <w:tcPr>
            <w:tcW w:type="dxa" w:w="2160"/>
          </w:tcPr>
          <w:p>
            <w:r/>
            <w:r>
              <w:rPr>
                <w:b w:val="0"/>
                <w:sz w:val="18"/>
              </w:rPr>
              <w:t>CWE-307</w:t>
            </w:r>
          </w:p>
        </w:tc>
        <w:tc>
          <w:tcPr>
            <w:tcW w:type="dxa" w:w="2160"/>
          </w:tcPr>
          <w:p>
            <w:r/>
            <w:r>
              <w:rPr>
                <w:b w:val="0"/>
                <w:sz w:val="18"/>
              </w:rPr>
              <w:t>A07:2021 – Identification and Authentication Failures</w:t>
            </w:r>
          </w:p>
        </w:tc>
      </w:tr>
    </w:tbl>
    <w:p>
      <w:pPr>
        <w:spacing w:after="80"/>
      </w:pPr>
      <w:r>
        <w:rPr>
          <w:i/>
          <w:color w:val="555555"/>
          <w:sz w:val="17"/>
        </w:rPr>
        <w:t>Vector: CVSS:3.1/AV:N/AC:L/PR:N/UI:N/S:U/C:L/I:N/A:N</w:t>
      </w:r>
    </w:p>
    <w:p>
      <w:pPr>
        <w:spacing w:after="40"/>
      </w:pPr>
      <w:r>
        <w:rPr>
          <w:b/>
          <w:i w:val="0"/>
          <w:sz w:val="19"/>
        </w:rPr>
        <w:t>Endpoint: POST /api/auth/login</w:t>
      </w:r>
    </w:p>
    <w:p>
      <w:pPr>
        <w:spacing w:after="40"/>
      </w:pPr>
      <w:r>
        <w:rPr>
          <w:b w:val="0"/>
          <w:i w:val="0"/>
          <w:sz w:val="20"/>
        </w:rPr>
        <w:t>Descripción. El endpoint de login no imponía ningún límite de intentos.</w:t>
      </w:r>
    </w:p>
    <w:p>
      <w:pPr>
        <w:spacing w:after="40"/>
      </w:pPr>
      <w:r>
        <w:rPr>
          <w:b w:val="0"/>
          <w:i w:val="0"/>
          <w:sz w:val="20"/>
        </w:rPr>
        <w:t>Impacto. Fuerza bruta de credenciales sin fricción.</w:t>
      </w:r>
    </w:p>
    <w:p>
      <w:pPr>
        <w:spacing w:after="40"/>
      </w:pPr>
      <w:r>
        <w:rPr>
          <w:b w:val="0"/>
          <w:i w:val="0"/>
          <w:sz w:val="20"/>
        </w:rPr>
        <w:t>Remediación. LoginRateLimiter: ventana deslizante por IP (5/min por defecto); superar el cupo → 429.</w:t>
      </w:r>
    </w:p>
    <w:p>
      <w:pPr>
        <w:spacing w:after="40"/>
      </w:pPr>
      <w:r>
        <w:rPr>
          <w:b/>
          <w:color w:val="1E7E34"/>
          <w:sz w:val="20"/>
        </w:rPr>
        <w:t xml:space="preserve">Verificación (test dual). </w:t>
      </w:r>
      <w:r>
        <w:rPr>
          <w:sz w:val="20"/>
        </w:rPr>
        <w:t>El 6.º intento desde una IP → 429; un login válido desde otra IP → 200. Alcance por-instancia documentado.</w:t>
      </w:r>
    </w:p>
    <w:p>
      <w:pPr>
        <w:spacing w:after="200"/>
      </w:pPr>
      <w:r>
        <w:rPr>
          <w:b w:val="0"/>
          <w:i/>
          <w:color w:val="1E7E34"/>
          <w:sz w:val="18"/>
        </w:rPr>
        <w:t>Estado: Fixed · commit 521f95a (FSEC-17).</w:t>
      </w:r>
    </w:p>
    <w:p>
      <w:pPr>
        <w:pStyle w:val="Heading2"/>
      </w:pPr>
      <w:r>
        <w:t>V-08 · Logging de PII en texto plano (Ley 1581)</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MEDIUM</w:t>
            </w:r>
          </w:p>
        </w:tc>
        <w:tc>
          <w:tcPr>
            <w:tcW w:type="dxa" w:w="2160"/>
          </w:tcPr>
          <w:p>
            <w:r/>
            <w:r>
              <w:rPr>
                <w:b w:val="0"/>
                <w:sz w:val="18"/>
              </w:rPr>
              <w:t>6.1</w:t>
            </w:r>
          </w:p>
        </w:tc>
        <w:tc>
          <w:tcPr>
            <w:tcW w:type="dxa" w:w="2160"/>
          </w:tcPr>
          <w:p>
            <w:r/>
            <w:r>
              <w:rPr>
                <w:b w:val="0"/>
                <w:sz w:val="18"/>
              </w:rPr>
              <w:t>CWE-359</w:t>
            </w:r>
          </w:p>
        </w:tc>
        <w:tc>
          <w:tcPr>
            <w:tcW w:type="dxa" w:w="2160"/>
          </w:tcPr>
          <w:p>
            <w:r/>
            <w:r>
              <w:rPr>
                <w:b w:val="0"/>
                <w:sz w:val="18"/>
              </w:rPr>
              <w:t>A09:2021 – Security Logging and Monitoring Failures</w:t>
            </w:r>
          </w:p>
        </w:tc>
      </w:tr>
    </w:tbl>
    <w:p>
      <w:pPr>
        <w:spacing w:after="80"/>
      </w:pPr>
      <w:r>
        <w:rPr>
          <w:i/>
          <w:color w:val="555555"/>
          <w:sz w:val="17"/>
        </w:rPr>
        <w:t>Vector: CVSS:3.1/AV:L/AC:L/PR:N/UI:N/S:U/C:H/I:N/A:N</w:t>
      </w:r>
    </w:p>
    <w:p>
      <w:pPr>
        <w:spacing w:after="40"/>
      </w:pPr>
      <w:r>
        <w:rPr>
          <w:b/>
          <w:i w:val="0"/>
          <w:sz w:val="19"/>
        </w:rPr>
        <w:t>Endpoint: Múltiples endpoints + logback</w:t>
      </w:r>
    </w:p>
    <w:p>
      <w:pPr>
        <w:spacing w:after="40"/>
      </w:pPr>
      <w:r>
        <w:rPr>
          <w:b w:val="0"/>
          <w:i w:val="0"/>
          <w:sz w:val="20"/>
        </w:rPr>
        <w:t>Descripción. Se registraban cédula, correo y teléfono en texto plano en consola y archivo.</w:t>
      </w:r>
    </w:p>
    <w:p>
      <w:pPr>
        <w:spacing w:after="40"/>
      </w:pPr>
      <w:r>
        <w:rPr>
          <w:b w:val="0"/>
          <w:i w:val="0"/>
          <w:sz w:val="20"/>
        </w:rPr>
        <w:t>Impacto. Exposición de datos personales en los logs (Ley 1581, principio de seguridad).</w:t>
      </w:r>
    </w:p>
    <w:p>
      <w:pPr>
        <w:spacing w:after="40"/>
      </w:pPr>
      <w:r>
        <w:rPr>
          <w:b w:val="0"/>
          <w:i w:val="0"/>
          <w:sz w:val="20"/>
        </w:rPr>
        <w:t>Remediación. PiiMaskingConverter transversal (redacta correos y secuencias numéricas largas en todo log) y eliminación del volcado de filas.</w:t>
      </w:r>
    </w:p>
    <w:p>
      <w:pPr>
        <w:spacing w:after="40"/>
      </w:pPr>
      <w:r>
        <w:rPr>
          <w:b/>
          <w:color w:val="1E7E34"/>
          <w:sz w:val="20"/>
        </w:rPr>
        <w:t xml:space="preserve">Verificación (test dual). </w:t>
      </w:r>
      <w:r>
        <w:rPr>
          <w:sz w:val="20"/>
        </w:rPr>
        <w:t>Correos/cédulas/teléfonos redactados; mensajes sin PII intactos; sin NPE en bordes.</w:t>
      </w:r>
    </w:p>
    <w:p>
      <w:pPr>
        <w:spacing w:after="200"/>
      </w:pPr>
      <w:r>
        <w:rPr>
          <w:b w:val="0"/>
          <w:i/>
          <w:color w:val="1E7E34"/>
          <w:sz w:val="18"/>
        </w:rPr>
        <w:t>Estado: Fixed · commit 88879b8 (FSEC-17).</w:t>
      </w:r>
    </w:p>
    <w:p>
      <w:pPr>
        <w:pStyle w:val="Heading2"/>
      </w:pPr>
      <w:r>
        <w:t>V-09 · IDOR en viajes de conductor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MEDIUM</w:t>
            </w:r>
          </w:p>
        </w:tc>
        <w:tc>
          <w:tcPr>
            <w:tcW w:type="dxa" w:w="2160"/>
          </w:tcPr>
          <w:p>
            <w:r/>
            <w:r>
              <w:rPr>
                <w:b w:val="0"/>
                <w:sz w:val="18"/>
              </w:rPr>
              <w:t>5.3</w:t>
            </w:r>
          </w:p>
        </w:tc>
        <w:tc>
          <w:tcPr>
            <w:tcW w:type="dxa" w:w="2160"/>
          </w:tcPr>
          <w:p>
            <w:r/>
            <w:r>
              <w:rPr>
                <w:b w:val="0"/>
                <w:sz w:val="18"/>
              </w:rPr>
              <w:t>CWE-639</w:t>
            </w:r>
          </w:p>
        </w:tc>
        <w:tc>
          <w:tcPr>
            <w:tcW w:type="dxa" w:w="2160"/>
          </w:tcPr>
          <w:p>
            <w:r/>
            <w:r>
              <w:rPr>
                <w:b w:val="0"/>
                <w:sz w:val="18"/>
              </w:rPr>
              <w:t>A01:2021 – Broken Access Control</w:t>
            </w:r>
          </w:p>
        </w:tc>
      </w:tr>
    </w:tbl>
    <w:p>
      <w:pPr>
        <w:spacing w:after="80"/>
      </w:pPr>
      <w:r>
        <w:rPr>
          <w:i/>
          <w:color w:val="555555"/>
          <w:sz w:val="17"/>
        </w:rPr>
        <w:t>Vector: CVSS:3.1/AV:N/AC:L/PR:N/UI:N/S:U/C:L/I:N/A:N</w:t>
      </w:r>
    </w:p>
    <w:p>
      <w:pPr>
        <w:spacing w:after="40"/>
      </w:pPr>
      <w:r>
        <w:rPr>
          <w:b/>
          <w:i w:val="0"/>
          <w:sz w:val="19"/>
        </w:rPr>
        <w:t>Endpoint: GET /api/drivers/{id}/trips</w:t>
      </w:r>
    </w:p>
    <w:p>
      <w:pPr>
        <w:spacing w:after="40"/>
      </w:pPr>
      <w:r>
        <w:rPr>
          <w:b w:val="0"/>
          <w:i w:val="0"/>
          <w:sz w:val="20"/>
        </w:rPr>
        <w:t>Descripción. El endpoint devolvía los viajes de cualquier conductor sin verificar propiedad.</w:t>
      </w:r>
    </w:p>
    <w:p>
      <w:pPr>
        <w:spacing w:after="40"/>
      </w:pPr>
      <w:r>
        <w:rPr>
          <w:b w:val="0"/>
          <w:i w:val="0"/>
          <w:sz w:val="20"/>
        </w:rPr>
        <w:t>Impacto. Enumeración de recorridos (geolocalización) de otros conductores cambiando el id.</w:t>
      </w:r>
    </w:p>
    <w:p>
      <w:pPr>
        <w:spacing w:after="40"/>
      </w:pPr>
      <w:r>
        <w:rPr>
          <w:b w:val="0"/>
          <w:i w:val="0"/>
          <w:sz w:val="20"/>
        </w:rPr>
        <w:t>Remediación. Verificación de propiedad explícita contra el sujeto autenticado; sin permiso → 403.</w:t>
      </w:r>
    </w:p>
    <w:p>
      <w:pPr>
        <w:spacing w:after="40"/>
      </w:pPr>
      <w:r>
        <w:rPr>
          <w:b/>
          <w:color w:val="1E7E34"/>
          <w:sz w:val="20"/>
        </w:rPr>
        <w:t xml:space="preserve">Verificación (test dual). </w:t>
      </w:r>
      <w:r>
        <w:rPr>
          <w:sz w:val="20"/>
        </w:rPr>
        <w:t>Conductor A pidiendo los viajes de B → 403; sus propios viajes → 200.</w:t>
      </w:r>
    </w:p>
    <w:p>
      <w:pPr>
        <w:spacing w:after="200"/>
      </w:pPr>
      <w:r>
        <w:rPr>
          <w:b w:val="0"/>
          <w:i/>
          <w:color w:val="1E7E34"/>
          <w:sz w:val="18"/>
        </w:rPr>
        <w:t>Estado: Fixed · commit 49c2153 (FSEC-17).</w:t>
      </w:r>
    </w:p>
    <w:p>
      <w:pPr>
        <w:pStyle w:val="Heading2"/>
      </w:pPr>
      <w:r>
        <w:t>V-10 · Credenciales hardcodeadas en configuración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7.5</w:t>
            </w:r>
          </w:p>
        </w:tc>
        <w:tc>
          <w:tcPr>
            <w:tcW w:type="dxa" w:w="2160"/>
          </w:tcPr>
          <w:p>
            <w:r/>
            <w:r>
              <w:rPr>
                <w:b w:val="0"/>
                <w:sz w:val="18"/>
              </w:rPr>
              <w:t>CWE-798</w:t>
            </w:r>
          </w:p>
        </w:tc>
        <w:tc>
          <w:tcPr>
            <w:tcW w:type="dxa" w:w="2160"/>
          </w:tcPr>
          <w:p>
            <w:r/>
            <w:r>
              <w:rPr>
                <w:b w:val="0"/>
                <w:sz w:val="18"/>
              </w:rPr>
              <w:t>A07:2021 – Identification and Authentication Failures</w:t>
            </w:r>
          </w:p>
        </w:tc>
      </w:tr>
    </w:tbl>
    <w:p>
      <w:pPr>
        <w:spacing w:after="80"/>
      </w:pPr>
      <w:r>
        <w:rPr>
          <w:i/>
          <w:color w:val="555555"/>
          <w:sz w:val="17"/>
        </w:rPr>
        <w:t>Vector: CVSS:3.1/AV:N/AC:L/PR:N/UI:N/S:U/C:H/I:N/A:N</w:t>
      </w:r>
    </w:p>
    <w:p>
      <w:pPr>
        <w:spacing w:after="40"/>
      </w:pPr>
      <w:r>
        <w:rPr>
          <w:b/>
          <w:i w:val="0"/>
          <w:sz w:val="19"/>
        </w:rPr>
        <w:t>Endpoint: application.yml</w:t>
      </w:r>
    </w:p>
    <w:p>
      <w:pPr>
        <w:spacing w:after="40"/>
      </w:pPr>
      <w:r>
        <w:rPr>
          <w:b w:val="0"/>
          <w:i w:val="0"/>
          <w:sz w:val="20"/>
        </w:rPr>
        <w:t>Descripción. El secreto de firma JWT y la contraseña de admin estaban hardcodeados en la configuración.</w:t>
      </w:r>
    </w:p>
    <w:p>
      <w:pPr>
        <w:spacing w:after="40"/>
      </w:pPr>
      <w:r>
        <w:rPr>
          <w:b w:val="0"/>
          <w:i w:val="0"/>
          <w:sz w:val="20"/>
        </w:rPr>
        <w:t>Impacto. Exposición de credenciales versionadas en el repositorio.</w:t>
      </w:r>
    </w:p>
    <w:p>
      <w:pPr>
        <w:spacing w:after="40"/>
      </w:pPr>
      <w:r>
        <w:rPr>
          <w:b w:val="0"/>
          <w:i w:val="0"/>
          <w:sz w:val="20"/>
        </w:rPr>
        <w:t>Remediación. Externalización a variables de entorno sin valor por defecto: si faltan, el contexto no arranca (fail-fast).</w:t>
      </w:r>
    </w:p>
    <w:p>
      <w:pPr>
        <w:spacing w:after="40"/>
      </w:pPr>
      <w:r>
        <w:rPr>
          <w:b/>
          <w:color w:val="1E7E34"/>
          <w:sz w:val="20"/>
        </w:rPr>
        <w:t xml:space="preserve">Verificación (test dual). </w:t>
      </w:r>
      <w:r>
        <w:rPr>
          <w:sz w:val="20"/>
        </w:rPr>
        <w:t>Sin el secreto el contexto no levanta; con el secreto el login emite un JWT firmado.</w:t>
      </w:r>
    </w:p>
    <w:p>
      <w:pPr>
        <w:spacing w:after="200"/>
      </w:pPr>
      <w:r>
        <w:rPr>
          <w:b w:val="0"/>
          <w:i/>
          <w:color w:val="1E7E34"/>
          <w:sz w:val="18"/>
        </w:rPr>
        <w:t>Estado: Fixed · commit 7074b29 (FSEC-17).</w:t>
      </w:r>
    </w:p>
    <w:p>
      <w:pPr>
        <w:pStyle w:val="Heading2"/>
      </w:pPr>
      <w:r>
        <w:t>V-11 · Ausencia de enforcement de autenticación (raíz)</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HIGH</w:t>
            </w:r>
          </w:p>
        </w:tc>
        <w:tc>
          <w:tcPr>
            <w:tcW w:type="dxa" w:w="2160"/>
          </w:tcPr>
          <w:p>
            <w:r/>
            <w:r>
              <w:rPr>
                <w:b w:val="0"/>
                <w:sz w:val="18"/>
              </w:rPr>
              <w:t>8.2</w:t>
            </w:r>
          </w:p>
        </w:tc>
        <w:tc>
          <w:tcPr>
            <w:tcW w:type="dxa" w:w="2160"/>
          </w:tcPr>
          <w:p>
            <w:r/>
            <w:r>
              <w:rPr>
                <w:b w:val="0"/>
                <w:sz w:val="18"/>
              </w:rPr>
              <w:t>CWE-306</w:t>
            </w:r>
          </w:p>
        </w:tc>
        <w:tc>
          <w:tcPr>
            <w:tcW w:type="dxa" w:w="2160"/>
          </w:tcPr>
          <w:p>
            <w:r/>
            <w:r>
              <w:rPr>
                <w:b w:val="0"/>
                <w:sz w:val="18"/>
              </w:rPr>
              <w:t>A01:2021 – Broken Access Control</w:t>
            </w:r>
          </w:p>
        </w:tc>
      </w:tr>
    </w:tbl>
    <w:p>
      <w:pPr>
        <w:spacing w:after="80"/>
      </w:pPr>
      <w:r>
        <w:rPr>
          <w:i/>
          <w:color w:val="555555"/>
          <w:sz w:val="17"/>
        </w:rPr>
        <w:t>Vector: CVSS:3.1/AV:N/AC:L/PR:N/UI:N/S:U/C:H/I:L/A:N</w:t>
      </w:r>
    </w:p>
    <w:p>
      <w:pPr>
        <w:spacing w:after="40"/>
      </w:pPr>
      <w:r>
        <w:rPr>
          <w:b/>
          <w:i w:val="0"/>
          <w:sz w:val="19"/>
        </w:rPr>
        <w:t>Endpoint: Toda la API</w:t>
      </w:r>
    </w:p>
    <w:p>
      <w:pPr>
        <w:spacing w:after="40"/>
      </w:pPr>
      <w:r>
        <w:rPr>
          <w:b w:val="0"/>
          <w:i w:val="0"/>
          <w:sz w:val="20"/>
        </w:rPr>
        <w:t>Descripción. No existía filtro de seguridad: todos los endpoints respondían a peticiones anónimas.</w:t>
      </w:r>
    </w:p>
    <w:p>
      <w:pPr>
        <w:spacing w:after="40"/>
      </w:pPr>
      <w:r>
        <w:rPr>
          <w:b w:val="0"/>
          <w:i w:val="0"/>
          <w:sz w:val="20"/>
        </w:rPr>
        <w:t>Impacto. Acceso anónimo a la PII de ~60.000 conductores y a la modificación de datos (hallazgo raíz).</w:t>
      </w:r>
    </w:p>
    <w:p>
      <w:pPr>
        <w:spacing w:after="40"/>
      </w:pPr>
      <w:r>
        <w:rPr>
          <w:b w:val="0"/>
          <w:i w:val="0"/>
          <w:sz w:val="20"/>
        </w:rPr>
        <w:t>Remediación. Spring Security con matriz default-deny y filtro JWT: solo login y documentación son públicos.</w:t>
      </w:r>
    </w:p>
    <w:p>
      <w:pPr>
        <w:spacing w:after="40"/>
      </w:pPr>
      <w:r>
        <w:rPr>
          <w:b/>
          <w:color w:val="1E7E34"/>
          <w:sz w:val="20"/>
        </w:rPr>
        <w:t xml:space="preserve">Verificación (test dual). </w:t>
      </w:r>
      <w:r>
        <w:rPr>
          <w:sz w:val="20"/>
        </w:rPr>
        <w:t>Sin token, un endpoint protegido → 401; con token válido → 200.</w:t>
      </w:r>
    </w:p>
    <w:p>
      <w:pPr>
        <w:spacing w:after="200"/>
      </w:pPr>
      <w:r>
        <w:rPr>
          <w:b w:val="0"/>
          <w:i/>
          <w:color w:val="1E7E34"/>
          <w:sz w:val="18"/>
        </w:rPr>
        <w:t>Estado: Fixed · commit 761154d (FSEC-17).</w:t>
      </w:r>
    </w:p>
    <w:p>
      <w:r>
        <w:br w:type="page"/>
      </w:r>
    </w:p>
    <w:p>
      <w:pPr>
        <w:pStyle w:val="Heading1"/>
      </w:pPr>
      <w:r>
        <w:t>6. Hallazgos bonus (FSEC-19)</w:t>
      </w:r>
    </w:p>
    <w:p>
      <w:pPr>
        <w:spacing w:after="160"/>
      </w:pPr>
      <w:r>
        <w:rPr>
          <w:b w:val="0"/>
          <w:i w:val="0"/>
          <w:sz w:val="21"/>
        </w:rPr>
        <w:t>Además de los 11 vectores del alcance principal, se documentan hallazgos adicionales con evidencia propia. El entregable exige ≥2 bonus: se cubren con B-01 (security headers) y V-11 (ausencia de enforcement de autenticación, que conserva su prefijo V por su rol en el análisis de interacción). Un tercer candidato —B-02, CORS— se evaluó y no aplica.</w:t>
      </w:r>
    </w:p>
    <w:p>
      <w:pPr>
        <w:pStyle w:val="Heading2"/>
      </w:pPr>
      <w:r>
        <w:t>6.1 B-01 · Ausencia de HTTP security headers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r/>
            <w:r>
              <w:rPr>
                <w:b/>
                <w:color w:val="FFFFFF"/>
                <w:sz w:val="18"/>
              </w:rPr>
              <w:t>Severidad</w:t>
            </w:r>
          </w:p>
        </w:tc>
        <w:tc>
          <w:tcPr>
            <w:tcW w:type="dxa" w:w="2160"/>
            <w:shd w:fill="1F3A5F"/>
          </w:tcPr>
          <w:p>
            <w:r/>
            <w:r>
              <w:rPr>
                <w:b/>
                <w:color w:val="FFFFFF"/>
                <w:sz w:val="18"/>
              </w:rPr>
              <w:t>CVSS v3.1</w:t>
            </w:r>
          </w:p>
        </w:tc>
        <w:tc>
          <w:tcPr>
            <w:tcW w:type="dxa" w:w="2160"/>
            <w:shd w:fill="1F3A5F"/>
          </w:tcPr>
          <w:p>
            <w:r/>
            <w:r>
              <w:rPr>
                <w:b/>
                <w:color w:val="FFFFFF"/>
                <w:sz w:val="18"/>
              </w:rPr>
              <w:t>CWE</w:t>
            </w:r>
          </w:p>
        </w:tc>
        <w:tc>
          <w:tcPr>
            <w:tcW w:type="dxa" w:w="2160"/>
            <w:shd w:fill="1F3A5F"/>
          </w:tcPr>
          <w:p>
            <w:r/>
            <w:r>
              <w:rPr>
                <w:b/>
                <w:color w:val="FFFFFF"/>
                <w:sz w:val="18"/>
              </w:rPr>
              <w:t>OWASP 2021</w:t>
            </w:r>
          </w:p>
        </w:tc>
      </w:tr>
      <w:tr>
        <w:tc>
          <w:tcPr>
            <w:tcW w:type="dxa" w:w="2160"/>
          </w:tcPr>
          <w:p>
            <w:r/>
            <w:r>
              <w:rPr>
                <w:b w:val="0"/>
                <w:sz w:val="18"/>
              </w:rPr>
              <w:t>LOW</w:t>
            </w:r>
          </w:p>
        </w:tc>
        <w:tc>
          <w:tcPr>
            <w:tcW w:type="dxa" w:w="2160"/>
          </w:tcPr>
          <w:p>
            <w:r/>
            <w:r>
              <w:rPr>
                <w:b w:val="0"/>
                <w:sz w:val="18"/>
              </w:rPr>
              <w:t>3.1</w:t>
            </w:r>
          </w:p>
        </w:tc>
        <w:tc>
          <w:tcPr>
            <w:tcW w:type="dxa" w:w="2160"/>
          </w:tcPr>
          <w:p>
            <w:r/>
            <w:r>
              <w:rPr>
                <w:b w:val="0"/>
                <w:sz w:val="18"/>
              </w:rPr>
              <w:t>CWE-693</w:t>
            </w:r>
          </w:p>
        </w:tc>
        <w:tc>
          <w:tcPr>
            <w:tcW w:type="dxa" w:w="2160"/>
          </w:tcPr>
          <w:p>
            <w:r/>
            <w:r>
              <w:rPr>
                <w:b w:val="0"/>
                <w:sz w:val="18"/>
              </w:rPr>
              <w:t>A05:2021 Security Misconfiguration</w:t>
            </w:r>
          </w:p>
        </w:tc>
      </w:tr>
    </w:tbl>
    <w:p>
      <w:pPr>
        <w:spacing w:after="80"/>
      </w:pPr>
      <w:r>
        <w:rPr>
          <w:i/>
          <w:color w:val="555555"/>
          <w:sz w:val="17"/>
        </w:rPr>
        <w:t>Vector: CVSS:3.1/AV:N/AC:H/PR:N/UI:R/S:U/C:L/I:N/A:N</w:t>
      </w:r>
    </w:p>
    <w:p>
      <w:pPr>
        <w:spacing w:after="40"/>
      </w:pPr>
      <w:r>
        <w:rPr>
          <w:b w:val="0"/>
          <w:i w:val="0"/>
          <w:sz w:val="20"/>
        </w:rPr>
        <w:t>Descripción. En la baseline la app no emitía ningún security header (X-Frame-Options, CSP, HSTS, X-Content-Type-Options, Referrer/Permissions-Policy) — falla de mecanismo de protección (CWE-693), sin explotación directa pero eliminando una capa de defensa en profundidad.</w:t>
      </w:r>
    </w:p>
    <w:p>
      <w:pPr>
        <w:spacing w:after="40"/>
      </w:pPr>
      <w:r>
        <w:rPr>
          <w:b w:val="0"/>
          <w:i w:val="0"/>
          <w:sz w:val="20"/>
        </w:rPr>
        <w:t>Evidencia (DAST del pipeline). ZAP reportaba todos los headers ausentes en la baseline; post-remediación quedan 2 hallazgos Low residuales (X-Content-Type-Options y Cross-Origin-Resource-Policy en respuestas fuera de la cadena de filtros).</w:t>
      </w:r>
    </w:p>
    <w:p>
      <w:pPr>
        <w:spacing w:after="40"/>
      </w:pPr>
      <w:r>
        <w:rPr>
          <w:b w:val="0"/>
          <w:i w:val="0"/>
          <w:sz w:val="20"/>
        </w:rPr>
        <w:t>Impacto. Clickjacking (Swagger UI framable), MIME-sniffing, downgrade sin HSTS y ausencia de CSP como amplificador de un XSS futuro. Acotado por ser una API JSON (de ahí LOW).</w:t>
      </w:r>
    </w:p>
    <w:p>
      <w:pPr>
        <w:spacing w:after="40"/>
      </w:pPr>
      <w:r>
        <w:rPr>
          <w:b/>
          <w:color w:val="1E7E34"/>
          <w:sz w:val="20"/>
        </w:rPr>
        <w:t xml:space="preserve">Remediación. </w:t>
      </w:r>
      <w:r>
        <w:rPr>
          <w:sz w:val="20"/>
        </w:rPr>
        <w:t>Set completo de headers añadido en SecurityConfig (FSEC-17 PR-C, commit 0927e6e), verificado por test (headers presentes incluso en un 401). Se apoya en la maquinaria de escritura de headers de Spring Security ya parchada del CVE-2026-22732 (override a 6.5.9). Residual no bloqueante: añadir Cross-Origin-Resource-Policy y cubrir las respuestas de error/springdoc con un filtro global.</w:t>
      </w:r>
    </w:p>
    <w:p>
      <w:pPr>
        <w:spacing w:after="200"/>
      </w:pPr>
      <w:r>
        <w:rPr>
          <w:b w:val="0"/>
          <w:i/>
          <w:color w:val="1E7E34"/>
          <w:sz w:val="18"/>
        </w:rPr>
        <w:t>Estado: Fixed · commit 0927e6e (FSEC-17 PR-C), con residual Low documentado.</w:t>
      </w:r>
    </w:p>
    <w:p>
      <w:pPr>
        <w:pStyle w:val="Heading2"/>
      </w:pPr>
      <w:r>
        <w:t>6.2 V-11 · Ausencia de enforcement de autenticación (hallazgo bonus/raíz)</w:t>
      </w:r>
    </w:p>
    <w:p>
      <w:pPr>
        <w:spacing w:after="160"/>
      </w:pPr>
      <w:r>
        <w:rPr>
          <w:b w:val="0"/>
          <w:i w:val="0"/>
          <w:sz w:val="21"/>
        </w:rPr>
        <w:t>V-11 se cuenta también como hallazgo bonus: es el hallazgo de arquitectura detectado durante la evaluación (ningún endpoint exigía autenticación) y el nodo raíz del análisis de interacción (§4). Conserva su prefijo V —en lugar de renombrarlo B-XX— porque toda la cadena de remediación por fases y las referencias cruzadas lo citan como V-11. Detalle completo en la §5 y la ficha V-11 (HIGH, CVSS 8.2, CWE-306, Fixed).</w:t>
      </w:r>
    </w:p>
    <w:p>
      <w:pPr>
        <w:pStyle w:val="Heading2"/>
      </w:pPr>
      <w:r>
        <w:t>6.3 B-02 · CORS misconfiguration — no aplica</w:t>
      </w:r>
    </w:p>
    <w:p>
      <w:pPr>
        <w:spacing w:after="160"/>
      </w:pPr>
      <w:r>
        <w:rPr>
          <w:b w:val="0"/>
          <w:i w:val="0"/>
          <w:sz w:val="21"/>
        </w:rPr>
        <w:t>Se evaluó una posible política CORS permisiva (CWE-942: origen comodín + credenciales). No aplica: la app no invoca .cors(), no usa @CrossOrigin ni define un CorsConfigurationSource, por lo que Spring no emite headers Access-Control-Allow-*. Se documenta la no-aplicabilidad con la evidencia del grep (ficha B-02) en vez de omitirla.</w:t>
      </w:r>
    </w:p>
    <w:p>
      <w:r>
        <w:br w:type="page"/>
      </w:r>
    </w:p>
    <w:p>
      <w:pPr>
        <w:pStyle w:val="Heading1"/>
      </w:pPr>
      <w:r>
        <w:t>7. Mapeo de cumplimiento</w:t>
      </w:r>
    </w:p>
    <w:p>
      <w:pPr>
        <w:spacing w:after="160"/>
      </w:pPr>
      <w:r>
        <w:rPr>
          <w:b w:val="0"/>
          <w:i w:val="0"/>
          <w:sz w:val="21"/>
        </w:rPr>
        <w:t>Los hallazgos y sus remediaciones se alinean con los marcos aplicables a FleetSec (empresa en certificación ISO 27001:2022, tratante de datos personales bajo Ley 1581 de 2012).</w:t>
      </w:r>
    </w:p>
    <w:p>
      <w:pPr>
        <w:pStyle w:val="Heading2"/>
      </w:pPr>
      <w:r>
        <w:t>7.1 ISO/IEC 27001:2022 — Anexo A</w:t>
      </w:r>
    </w:p>
    <w:tbl>
      <w:tblPr>
        <w:tblStyle w:val="TableGrid"/>
        <w:tblW w:type="auto" w:w="0"/>
        <w:tblLook w:firstColumn="1" w:firstRow="1" w:lastColumn="0" w:lastRow="0" w:noHBand="0" w:noVBand="1" w:val="04A0"/>
      </w:tblPr>
      <w:tblGrid>
        <w:gridCol w:w="2880"/>
        <w:gridCol w:w="2880"/>
        <w:gridCol w:w="2880"/>
      </w:tblGrid>
      <w:tr>
        <w:tc>
          <w:tcPr>
            <w:tcW w:type="dxa" w:w="2880"/>
            <w:shd w:fill="1F3A5F"/>
          </w:tcPr>
          <w:p>
            <w:r/>
            <w:r>
              <w:rPr>
                <w:b/>
                <w:color w:val="FFFFFF"/>
                <w:sz w:val="19"/>
              </w:rPr>
              <w:t>Control Anexo A</w:t>
            </w:r>
          </w:p>
        </w:tc>
        <w:tc>
          <w:tcPr>
            <w:tcW w:type="dxa" w:w="2880"/>
            <w:shd w:fill="1F3A5F"/>
          </w:tcPr>
          <w:p>
            <w:r/>
            <w:r>
              <w:rPr>
                <w:b/>
                <w:color w:val="FFFFFF"/>
                <w:sz w:val="19"/>
              </w:rPr>
              <w:t>Descripción</w:t>
            </w:r>
          </w:p>
        </w:tc>
        <w:tc>
          <w:tcPr>
            <w:tcW w:type="dxa" w:w="2880"/>
            <w:shd w:fill="1F3A5F"/>
          </w:tcPr>
          <w:p>
            <w:r/>
            <w:r>
              <w:rPr>
                <w:b/>
                <w:color w:val="FFFFFF"/>
                <w:sz w:val="19"/>
              </w:rPr>
              <w:t>Hallazgos</w:t>
            </w:r>
          </w:p>
        </w:tc>
      </w:tr>
      <w:tr>
        <w:tc>
          <w:tcPr>
            <w:tcW w:type="dxa" w:w="2880"/>
          </w:tcPr>
          <w:p>
            <w:r/>
            <w:r>
              <w:rPr>
                <w:b/>
                <w:sz w:val="18"/>
              </w:rPr>
              <w:t>A.8.28</w:t>
            </w:r>
          </w:p>
        </w:tc>
        <w:tc>
          <w:tcPr>
            <w:tcW w:type="dxa" w:w="2880"/>
          </w:tcPr>
          <w:p>
            <w:r/>
            <w:r>
              <w:rPr>
                <w:b w:val="0"/>
                <w:sz w:val="18"/>
              </w:rPr>
              <w:t>Codificación segura</w:t>
            </w:r>
          </w:p>
        </w:tc>
        <w:tc>
          <w:tcPr>
            <w:tcW w:type="dxa" w:w="2880"/>
          </w:tcPr>
          <w:p>
            <w:r/>
            <w:r>
              <w:rPr>
                <w:b w:val="0"/>
                <w:sz w:val="18"/>
              </w:rPr>
              <w:t>V-01, V-04, V-05, V-06</w:t>
            </w:r>
          </w:p>
        </w:tc>
      </w:tr>
      <w:tr>
        <w:tc>
          <w:tcPr>
            <w:tcW w:type="dxa" w:w="2880"/>
          </w:tcPr>
          <w:p>
            <w:r/>
            <w:r>
              <w:rPr>
                <w:b/>
                <w:sz w:val="18"/>
              </w:rPr>
              <w:t>A.5.17</w:t>
            </w:r>
          </w:p>
        </w:tc>
        <w:tc>
          <w:tcPr>
            <w:tcW w:type="dxa" w:w="2880"/>
          </w:tcPr>
          <w:p>
            <w:r/>
            <w:r>
              <w:rPr>
                <w:b w:val="0"/>
                <w:sz w:val="18"/>
              </w:rPr>
              <w:t>Información de autenticación</w:t>
            </w:r>
          </w:p>
        </w:tc>
        <w:tc>
          <w:tcPr>
            <w:tcW w:type="dxa" w:w="2880"/>
          </w:tcPr>
          <w:p>
            <w:r/>
            <w:r>
              <w:rPr>
                <w:b w:val="0"/>
                <w:sz w:val="18"/>
              </w:rPr>
              <w:t>V-02, V-10</w:t>
            </w:r>
          </w:p>
        </w:tc>
      </w:tr>
      <w:tr>
        <w:tc>
          <w:tcPr>
            <w:tcW w:type="dxa" w:w="2880"/>
          </w:tcPr>
          <w:p>
            <w:r/>
            <w:r>
              <w:rPr>
                <w:b/>
                <w:sz w:val="18"/>
              </w:rPr>
              <w:t>A.8.5</w:t>
            </w:r>
          </w:p>
        </w:tc>
        <w:tc>
          <w:tcPr>
            <w:tcW w:type="dxa" w:w="2880"/>
          </w:tcPr>
          <w:p>
            <w:r/>
            <w:r>
              <w:rPr>
                <w:b w:val="0"/>
                <w:sz w:val="18"/>
              </w:rPr>
              <w:t>Autenticación segura</w:t>
            </w:r>
          </w:p>
        </w:tc>
        <w:tc>
          <w:tcPr>
            <w:tcW w:type="dxa" w:w="2880"/>
          </w:tcPr>
          <w:p>
            <w:r/>
            <w:r>
              <w:rPr>
                <w:b w:val="0"/>
                <w:sz w:val="18"/>
              </w:rPr>
              <w:t>V-07, V-11</w:t>
            </w:r>
          </w:p>
        </w:tc>
      </w:tr>
      <w:tr>
        <w:tc>
          <w:tcPr>
            <w:tcW w:type="dxa" w:w="2880"/>
          </w:tcPr>
          <w:p>
            <w:r/>
            <w:r>
              <w:rPr>
                <w:b/>
                <w:sz w:val="18"/>
              </w:rPr>
              <w:t>A.8.3</w:t>
            </w:r>
          </w:p>
        </w:tc>
        <w:tc>
          <w:tcPr>
            <w:tcW w:type="dxa" w:w="2880"/>
          </w:tcPr>
          <w:p>
            <w:r/>
            <w:r>
              <w:rPr>
                <w:b w:val="0"/>
                <w:sz w:val="18"/>
              </w:rPr>
              <w:t>Restricción de acceso a la información</w:t>
            </w:r>
          </w:p>
        </w:tc>
        <w:tc>
          <w:tcPr>
            <w:tcW w:type="dxa" w:w="2880"/>
          </w:tcPr>
          <w:p>
            <w:r/>
            <w:r>
              <w:rPr>
                <w:b w:val="0"/>
                <w:sz w:val="18"/>
              </w:rPr>
              <w:t>V-09, V-11</w:t>
            </w:r>
          </w:p>
        </w:tc>
      </w:tr>
      <w:tr>
        <w:tc>
          <w:tcPr>
            <w:tcW w:type="dxa" w:w="2880"/>
          </w:tcPr>
          <w:p>
            <w:r/>
            <w:r>
              <w:rPr>
                <w:b/>
                <w:sz w:val="18"/>
              </w:rPr>
              <w:t>A.8.15</w:t>
            </w:r>
          </w:p>
        </w:tc>
        <w:tc>
          <w:tcPr>
            <w:tcW w:type="dxa" w:w="2880"/>
          </w:tcPr>
          <w:p>
            <w:r/>
            <w:r>
              <w:rPr>
                <w:b w:val="0"/>
                <w:sz w:val="18"/>
              </w:rPr>
              <w:t>Registro (logging)</w:t>
            </w:r>
          </w:p>
        </w:tc>
        <w:tc>
          <w:tcPr>
            <w:tcW w:type="dxa" w:w="2880"/>
          </w:tcPr>
          <w:p>
            <w:r/>
            <w:r>
              <w:rPr>
                <w:b w:val="0"/>
                <w:sz w:val="18"/>
              </w:rPr>
              <w:t>V-08</w:t>
            </w:r>
          </w:p>
        </w:tc>
      </w:tr>
      <w:tr>
        <w:tc>
          <w:tcPr>
            <w:tcW w:type="dxa" w:w="2880"/>
          </w:tcPr>
          <w:p>
            <w:r/>
            <w:r>
              <w:rPr>
                <w:b/>
                <w:sz w:val="18"/>
              </w:rPr>
              <w:t>A.5.34</w:t>
            </w:r>
          </w:p>
        </w:tc>
        <w:tc>
          <w:tcPr>
            <w:tcW w:type="dxa" w:w="2880"/>
          </w:tcPr>
          <w:p>
            <w:r/>
            <w:r>
              <w:rPr>
                <w:b w:val="0"/>
                <w:sz w:val="18"/>
              </w:rPr>
              <w:t>Privacidad y protección de PII</w:t>
            </w:r>
          </w:p>
        </w:tc>
        <w:tc>
          <w:tcPr>
            <w:tcW w:type="dxa" w:w="2880"/>
          </w:tcPr>
          <w:p>
            <w:r/>
            <w:r>
              <w:rPr>
                <w:b w:val="0"/>
                <w:sz w:val="18"/>
              </w:rPr>
              <w:t>V-01, V-08</w:t>
            </w:r>
          </w:p>
        </w:tc>
      </w:tr>
      <w:tr>
        <w:tc>
          <w:tcPr>
            <w:tcW w:type="dxa" w:w="2880"/>
          </w:tcPr>
          <w:p>
            <w:r/>
            <w:r>
              <w:rPr>
                <w:b/>
                <w:sz w:val="18"/>
              </w:rPr>
              <w:t>A.8.9</w:t>
            </w:r>
          </w:p>
        </w:tc>
        <w:tc>
          <w:tcPr>
            <w:tcW w:type="dxa" w:w="2880"/>
          </w:tcPr>
          <w:p>
            <w:r/>
            <w:r>
              <w:rPr>
                <w:b w:val="0"/>
                <w:sz w:val="18"/>
              </w:rPr>
              <w:t>Gestión de la configuración</w:t>
            </w:r>
          </w:p>
        </w:tc>
        <w:tc>
          <w:tcPr>
            <w:tcW w:type="dxa" w:w="2880"/>
          </w:tcPr>
          <w:p>
            <w:r/>
            <w:r>
              <w:rPr>
                <w:b w:val="0"/>
                <w:sz w:val="18"/>
              </w:rPr>
              <w:t>V-10, headers</w:t>
            </w:r>
          </w:p>
        </w:tc>
      </w:tr>
      <w:tr>
        <w:tc>
          <w:tcPr>
            <w:tcW w:type="dxa" w:w="2880"/>
          </w:tcPr>
          <w:p>
            <w:r/>
            <w:r>
              <w:rPr>
                <w:b/>
                <w:sz w:val="18"/>
              </w:rPr>
              <w:t>A.8.16</w:t>
            </w:r>
          </w:p>
        </w:tc>
        <w:tc>
          <w:tcPr>
            <w:tcW w:type="dxa" w:w="2880"/>
          </w:tcPr>
          <w:p>
            <w:r/>
            <w:r>
              <w:rPr>
                <w:b w:val="0"/>
                <w:sz w:val="18"/>
              </w:rPr>
              <w:t>Actividades de monitoreo</w:t>
            </w:r>
          </w:p>
        </w:tc>
        <w:tc>
          <w:tcPr>
            <w:tcW w:type="dxa" w:w="2880"/>
          </w:tcPr>
          <w:p>
            <w:r/>
            <w:r>
              <w:rPr>
                <w:b w:val="0"/>
                <w:sz w:val="18"/>
              </w:rPr>
              <w:t>V-07</w:t>
            </w:r>
          </w:p>
        </w:tc>
      </w:tr>
    </w:tbl>
    <w:p>
      <w:pPr>
        <w:pStyle w:val="Heading2"/>
      </w:pPr>
      <w:r>
        <w:t>7.2 CIS Controls v8</w:t>
      </w:r>
    </w:p>
    <w:tbl>
      <w:tblPr>
        <w:tblStyle w:val="TableGrid"/>
        <w:tblW w:type="auto" w:w="0"/>
        <w:tblLook w:firstColumn="1" w:firstRow="1" w:lastColumn="0" w:lastRow="0" w:noHBand="0" w:noVBand="1" w:val="04A0"/>
      </w:tblPr>
      <w:tblGrid>
        <w:gridCol w:w="2880"/>
        <w:gridCol w:w="2880"/>
        <w:gridCol w:w="2880"/>
      </w:tblGrid>
      <w:tr>
        <w:tc>
          <w:tcPr>
            <w:tcW w:type="dxa" w:w="2880"/>
            <w:shd w:fill="1F3A5F"/>
          </w:tcPr>
          <w:p>
            <w:r/>
            <w:r>
              <w:rPr>
                <w:b/>
                <w:color w:val="FFFFFF"/>
                <w:sz w:val="19"/>
              </w:rPr>
              <w:t>Control CIS</w:t>
            </w:r>
          </w:p>
        </w:tc>
        <w:tc>
          <w:tcPr>
            <w:tcW w:type="dxa" w:w="2880"/>
            <w:shd w:fill="1F3A5F"/>
          </w:tcPr>
          <w:p>
            <w:r/>
            <w:r>
              <w:rPr>
                <w:b/>
                <w:color w:val="FFFFFF"/>
                <w:sz w:val="19"/>
              </w:rPr>
              <w:t>Descripción</w:t>
            </w:r>
          </w:p>
        </w:tc>
        <w:tc>
          <w:tcPr>
            <w:tcW w:type="dxa" w:w="2880"/>
            <w:shd w:fill="1F3A5F"/>
          </w:tcPr>
          <w:p>
            <w:r/>
            <w:r>
              <w:rPr>
                <w:b/>
                <w:color w:val="FFFFFF"/>
                <w:sz w:val="19"/>
              </w:rPr>
              <w:t>Hallazgos</w:t>
            </w:r>
          </w:p>
        </w:tc>
      </w:tr>
      <w:tr>
        <w:tc>
          <w:tcPr>
            <w:tcW w:type="dxa" w:w="2880"/>
          </w:tcPr>
          <w:p>
            <w:r/>
            <w:r>
              <w:rPr>
                <w:b/>
                <w:sz w:val="18"/>
              </w:rPr>
              <w:t>16 (16.1, 16.11)</w:t>
            </w:r>
          </w:p>
        </w:tc>
        <w:tc>
          <w:tcPr>
            <w:tcW w:type="dxa" w:w="2880"/>
          </w:tcPr>
          <w:p>
            <w:r/>
            <w:r>
              <w:rPr>
                <w:b w:val="0"/>
                <w:sz w:val="18"/>
              </w:rPr>
              <w:t>Seguridad del software de aplicación</w:t>
            </w:r>
          </w:p>
        </w:tc>
        <w:tc>
          <w:tcPr>
            <w:tcW w:type="dxa" w:w="2880"/>
          </w:tcPr>
          <w:p>
            <w:r/>
            <w:r>
              <w:rPr>
                <w:b w:val="0"/>
                <w:sz w:val="18"/>
              </w:rPr>
              <w:t>V-01, V-03, V-04, V-05, V-06</w:t>
            </w:r>
          </w:p>
        </w:tc>
      </w:tr>
      <w:tr>
        <w:tc>
          <w:tcPr>
            <w:tcW w:type="dxa" w:w="2880"/>
          </w:tcPr>
          <w:p>
            <w:r/>
            <w:r>
              <w:rPr>
                <w:b/>
                <w:sz w:val="18"/>
              </w:rPr>
              <w:t>3 (3.1, 3.11)</w:t>
            </w:r>
          </w:p>
        </w:tc>
        <w:tc>
          <w:tcPr>
            <w:tcW w:type="dxa" w:w="2880"/>
          </w:tcPr>
          <w:p>
            <w:r/>
            <w:r>
              <w:rPr>
                <w:b w:val="0"/>
                <w:sz w:val="18"/>
              </w:rPr>
              <w:t>Protección de datos (cifrado/enmascaramiento)</w:t>
            </w:r>
          </w:p>
        </w:tc>
        <w:tc>
          <w:tcPr>
            <w:tcW w:type="dxa" w:w="2880"/>
          </w:tcPr>
          <w:p>
            <w:r/>
            <w:r>
              <w:rPr>
                <w:b w:val="0"/>
                <w:sz w:val="18"/>
              </w:rPr>
              <w:t>V-08, V-10</w:t>
            </w:r>
          </w:p>
        </w:tc>
      </w:tr>
      <w:tr>
        <w:tc>
          <w:tcPr>
            <w:tcW w:type="dxa" w:w="2880"/>
          </w:tcPr>
          <w:p>
            <w:r/>
            <w:r>
              <w:rPr>
                <w:b/>
                <w:sz w:val="18"/>
              </w:rPr>
              <w:t>6 (6.7)</w:t>
            </w:r>
          </w:p>
        </w:tc>
        <w:tc>
          <w:tcPr>
            <w:tcW w:type="dxa" w:w="2880"/>
          </w:tcPr>
          <w:p>
            <w:r/>
            <w:r>
              <w:rPr>
                <w:b w:val="0"/>
                <w:sz w:val="18"/>
              </w:rPr>
              <w:t>Gestión del control de acceso</w:t>
            </w:r>
          </w:p>
        </w:tc>
        <w:tc>
          <w:tcPr>
            <w:tcW w:type="dxa" w:w="2880"/>
          </w:tcPr>
          <w:p>
            <w:r/>
            <w:r>
              <w:rPr>
                <w:b w:val="0"/>
                <w:sz w:val="18"/>
              </w:rPr>
              <w:t>V-09, V-11</w:t>
            </w:r>
          </w:p>
        </w:tc>
      </w:tr>
      <w:tr>
        <w:tc>
          <w:tcPr>
            <w:tcW w:type="dxa" w:w="2880"/>
          </w:tcPr>
          <w:p>
            <w:r/>
            <w:r>
              <w:rPr>
                <w:b/>
                <w:sz w:val="18"/>
              </w:rPr>
              <w:t>8 (8.2)</w:t>
            </w:r>
          </w:p>
        </w:tc>
        <w:tc>
          <w:tcPr>
            <w:tcW w:type="dxa" w:w="2880"/>
          </w:tcPr>
          <w:p>
            <w:r/>
            <w:r>
              <w:rPr>
                <w:b w:val="0"/>
                <w:sz w:val="18"/>
              </w:rPr>
              <w:t>Gestión de registros de auditoría</w:t>
            </w:r>
          </w:p>
        </w:tc>
        <w:tc>
          <w:tcPr>
            <w:tcW w:type="dxa" w:w="2880"/>
          </w:tcPr>
          <w:p>
            <w:r/>
            <w:r>
              <w:rPr>
                <w:b w:val="0"/>
                <w:sz w:val="18"/>
              </w:rPr>
              <w:t>V-08</w:t>
            </w:r>
          </w:p>
        </w:tc>
      </w:tr>
      <w:tr>
        <w:tc>
          <w:tcPr>
            <w:tcW w:type="dxa" w:w="2880"/>
          </w:tcPr>
          <w:p>
            <w:r/>
            <w:r>
              <w:rPr>
                <w:b/>
                <w:sz w:val="18"/>
              </w:rPr>
              <w:t>4 (4.1)</w:t>
            </w:r>
          </w:p>
        </w:tc>
        <w:tc>
          <w:tcPr>
            <w:tcW w:type="dxa" w:w="2880"/>
          </w:tcPr>
          <w:p>
            <w:r/>
            <w:r>
              <w:rPr>
                <w:b w:val="0"/>
                <w:sz w:val="18"/>
              </w:rPr>
              <w:t>Configuración segura</w:t>
            </w:r>
          </w:p>
        </w:tc>
        <w:tc>
          <w:tcPr>
            <w:tcW w:type="dxa" w:w="2880"/>
          </w:tcPr>
          <w:p>
            <w:r/>
            <w:r>
              <w:rPr>
                <w:b w:val="0"/>
                <w:sz w:val="18"/>
              </w:rPr>
              <w:t>V-10, headers</w:t>
            </w:r>
          </w:p>
        </w:tc>
      </w:tr>
    </w:tbl>
    <w:p>
      <w:pPr>
        <w:pStyle w:val="Heading2"/>
      </w:pPr>
      <w:r>
        <w:t>7.3 Ley 1581 de 2012 (Protección de Datos Personales — Colombia)</w:t>
      </w:r>
    </w:p>
    <w:p>
      <w:pPr>
        <w:spacing w:after="120"/>
      </w:pPr>
      <w:r>
        <w:rPr>
          <w:b w:val="0"/>
          <w:i w:val="0"/>
          <w:sz w:val="21"/>
        </w:rPr>
        <w:t>La plataforma trata datos personales de conductores (cédula, correo, teléfono, licencia) y datos de geolocalización (recorridos). Los hallazgos con impacto directo son:</w:t>
      </w:r>
    </w:p>
    <w:p>
      <w:pPr>
        <w:pStyle w:val="ListBullet"/>
      </w:pPr>
      <w:r>
        <w:rPr>
          <w:b/>
          <w:sz w:val="21"/>
        </w:rPr>
        <w:t xml:space="preserve">Confidencialidad: </w:t>
      </w:r>
      <w:r>
        <w:rPr>
          <w:sz w:val="21"/>
        </w:rPr>
        <w:t>acceso anónimo a PII (V-11) y su extracción vía inyección (V-01) vulneran el principio de seguridad (Art. 4, lit. g).</w:t>
      </w:r>
    </w:p>
    <w:p>
      <w:pPr>
        <w:pStyle w:val="ListBullet"/>
      </w:pPr>
      <w:r>
        <w:rPr>
          <w:b/>
          <w:sz w:val="21"/>
        </w:rPr>
        <w:t xml:space="preserve">Logging: </w:t>
      </w:r>
      <w:r>
        <w:rPr>
          <w:sz w:val="21"/>
        </w:rPr>
        <w:t>el registro de PII en texto plano (V-08) incumple el deber de custodia y el principio de seguridad.</w:t>
      </w:r>
    </w:p>
    <w:p>
      <w:pPr>
        <w:pStyle w:val="ListBullet"/>
      </w:pPr>
      <w:r>
        <w:rPr>
          <w:b/>
          <w:sz w:val="21"/>
        </w:rPr>
        <w:t xml:space="preserve">Integridad: </w:t>
      </w:r>
      <w:r>
        <w:rPr>
          <w:sz w:val="21"/>
        </w:rPr>
        <w:t>la modificación no autorizada de datos personales (V-05) afecta el principio de veracidad/integridad.</w:t>
      </w:r>
    </w:p>
    <w:p>
      <w:pPr>
        <w:pStyle w:val="ListBullet"/>
      </w:pPr>
      <w:r>
        <w:rPr>
          <w:b/>
          <w:sz w:val="21"/>
        </w:rPr>
        <w:t xml:space="preserve">Deber de notificación: </w:t>
      </w:r>
      <w:r>
        <w:rPr>
          <w:sz w:val="21"/>
        </w:rPr>
        <w:t>en producción, una exposición de esta naturaleza es un incidente reportable a la Superintendencia de Industria y Comercio (SIC) conforme a los deberes del Responsable (Art. 17) y del Encargado (Art. 18) y el Decreto 1377 de 2013.</w:t>
      </w:r>
    </w:p>
    <w:p>
      <w:pPr>
        <w:spacing w:after="120"/>
      </w:pPr>
      <w:r>
        <w:rPr>
          <w:b w:val="0"/>
          <w:i/>
          <w:color w:val="555555"/>
          <w:sz w:val="19"/>
        </w:rPr>
        <w:t>En este ejercicio los datos son de prueba y el entorno es controlado; no hubo compromiso de datos reales ni obligación de notificación. La remediación cierra la brecha antes de cualquier exposición productiva.</w:t>
      </w:r>
    </w:p>
    <w:p>
      <w:r>
        <w:br w:type="page"/>
      </w:r>
    </w:p>
    <w:p>
      <w:pPr>
        <w:pStyle w:val="Heading1"/>
      </w:pPr>
      <w:r>
        <w:t>8. Conclusiones y recomendaciones</w:t>
      </w:r>
    </w:p>
    <w:p>
      <w:pPr>
        <w:spacing w:after="160"/>
      </w:pPr>
      <w:r>
        <w:rPr>
          <w:b w:val="0"/>
          <w:i w:val="0"/>
          <w:sz w:val="21"/>
        </w:rPr>
        <w:t>La evaluación identificó 11 vulnerabilidades —7 de severidad alta y 4 media— dominadas por un hallazgo raíz de arquitectura: la ausencia de autenticación obligatoria. El análisis de interacción demostró que el orden de remediación era crítico, y la corrección se ejecutó en tres fases secuenciales que respetaron esas dependencias, cerrando explícitamente las dos vías al account takeover.</w:t>
      </w:r>
    </w:p>
    <w:p>
      <w:pPr>
        <w:spacing w:after="160"/>
      </w:pPr>
      <w:r>
        <w:rPr>
          <w:b w:val="0"/>
          <w:i w:val="0"/>
          <w:sz w:val="21"/>
        </w:rPr>
        <w:t>A la fecha del reporte, los 11 hallazgos están remediados y verificados con pruebas duales (ataque rechazado + flujo legítimo operativo), y el pipeline de seguridad DevSecOps —ocho etapas de análisis— reporta en verde, sin hallazgos de severidad alta pendientes.</w:t>
      </w:r>
    </w:p>
    <w:p>
      <w:pPr>
        <w:spacing w:after="40"/>
      </w:pPr>
      <w:r>
        <w:rPr>
          <w:b/>
          <w:i w:val="0"/>
          <w:sz w:val="21"/>
        </w:rPr>
        <w:t>Recomendaciones de continuidad:</w:t>
      </w:r>
    </w:p>
    <w:p>
      <w:pPr>
        <w:pStyle w:val="ListBullet"/>
      </w:pPr>
      <w:r>
        <w:rPr>
          <w:sz w:val="21"/>
        </w:rPr>
        <w:t>activar el gate de seguridad del pipeline como control bloqueante (required check) para todo PR.</w:t>
      </w:r>
    </w:p>
    <w:p>
      <w:pPr>
        <w:pStyle w:val="ListBullet"/>
      </w:pPr>
      <w:r>
        <w:rPr>
          <w:sz w:val="21"/>
        </w:rPr>
        <w:t>trasladar el rate limiting y el enmascaramiento de PII a controles de plataforma (WAF/gateway, store compartido) al escalar horizontalmente.</w:t>
      </w:r>
    </w:p>
    <w:p>
      <w:pPr>
        <w:pStyle w:val="ListBullet"/>
      </w:pPr>
      <w:r>
        <w:rPr>
          <w:sz w:val="21"/>
        </w:rPr>
        <w:t>cerrar el residual de SSRF (TOCTOU) con conexión a IP validada o allowlist de destinos si el webhook pasa a producción.</w:t>
      </w:r>
    </w:p>
    <w:p>
      <w:pPr>
        <w:pStyle w:val="ListBullet"/>
      </w:pPr>
      <w:r>
        <w:rPr>
          <w:sz w:val="21"/>
        </w:rPr>
        <w:t>incorporar estas verificaciones al conjunto de pruebas de regresión permanente.</w:t>
      </w:r>
    </w:p>
    <w:p>
      <w:pPr>
        <w:spacing w:after="200"/>
      </w:pPr>
      <w:r>
        <w:rPr>
          <w:b w:val="0"/>
          <w:i w:val="0"/>
          <w:sz w:val="21"/>
        </w:rPr>
      </w:r>
    </w:p>
    <w:p>
      <w:pPr>
        <w:spacing w:after="120"/>
      </w:pPr>
      <w:r>
        <w:rPr>
          <w:b w:val="0"/>
          <w:i/>
          <w:color w:val="555555"/>
          <w:sz w:val="18"/>
        </w:rPr>
        <w:t>Anexo. Las fichas técnicas completas de cada hallazgo (PoC ejecutada, justificación métrica de CVSS y detalle de remediación) residen en el repositorio bajo vapt/findings/V-XX.md. La evidencia de verificación reside en la suite de pruebas de la aplicación y en los artefactos del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