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100"/>
      </w:pPr>
      <w:r>
        <w:t>Estudio de Factibilidad - ASCEND</w:t>
      </w:r>
    </w:p>
    <w:p>
      <w:pPr>
        <w:pStyle w:val="Heading1"/>
        <w:spacing w:before="160" w:after="100"/>
      </w:pPr>
      <w:r>
        <w:t>1. Introducción</w:t>
      </w:r>
    </w:p>
    <w:p>
      <w:pPr>
        <w:spacing w:after="120" w:line="259" w:lineRule="auto"/>
      </w:pPr>
      <w:r>
        <w:t>El presente documento establece el estudio de factibilidad de ASCEND, una plataforma web destinada a la gestión y administración de torneos deportivos, de eSports y juegos de mesa.</w:t>
      </w:r>
    </w:p>
    <w:p>
      <w:pPr>
        <w:spacing w:after="120" w:line="259" w:lineRule="auto"/>
      </w:pPr>
      <w:r>
        <w:t>La realización de este estudio permite determinar si el proyecto cuenta con las condiciones necesarias para continuar su desarrollo y evaluar una futura implementación. Para ello se analizan los recursos tecnológicos y humanos disponibles, los costos asociados al proyecto, las necesidades de los potenciales usuarios y las obligaciones legales que podrían afectar su funcionamiento.</w:t>
      </w:r>
    </w:p>
    <w:p>
      <w:pPr>
        <w:spacing w:after="120" w:line="259" w:lineRule="auto"/>
      </w:pPr>
      <w:r>
        <w:t>El análisis previo de estos aspectos permite identificar limitaciones y riesgos antes de una puesta en producción y determinar las condiciones que deberán cumplirse para que ASCEND resulte viable.</w:t>
      </w:r>
    </w:p>
    <w:p>
      <w:pPr>
        <w:spacing w:after="120" w:line="259" w:lineRule="auto"/>
      </w:pPr>
      <w:r>
        <w:t>El estudio se divide en cuatro dimensiones principales: factibilidad técnica, económica, operativa y legal.</w:t>
      </w:r>
    </w:p>
    <w:p>
      <w:pPr>
        <w:pStyle w:val="Heading1"/>
        <w:spacing w:before="160" w:after="100"/>
      </w:pPr>
      <w:r>
        <w:t>2. Descripción general del proyecto</w:t>
      </w:r>
    </w:p>
    <w:p>
      <w:pPr>
        <w:spacing w:after="120" w:line="259" w:lineRule="auto"/>
      </w:pPr>
      <w:r>
        <w:t>ASCEND es una plataforma web orientada a centralizar la creación, organización, administración y seguimiento de diferentes tipos de torneos.</w:t>
      </w:r>
    </w:p>
    <w:p>
      <w:pPr>
        <w:pStyle w:val="Heading2"/>
        <w:spacing w:before="160" w:after="100"/>
      </w:pPr>
      <w:r>
        <w:t>Problema que resuelve</w:t>
      </w:r>
    </w:p>
    <w:p>
      <w:pPr>
        <w:spacing w:after="120" w:line="259" w:lineRule="auto"/>
      </w:pPr>
      <w:r>
        <w:t>La organización de torneos requiere administrar información relacionada con participantes, equipos, inscripciones, enfrentamientos, resultados, clasificaciones y rankings.</w:t>
      </w:r>
    </w:p>
    <w:p>
      <w:pPr>
        <w:spacing w:after="120" w:line="259" w:lineRule="auto"/>
      </w:pPr>
      <w:r>
        <w:t>Cuando estas actividades se realizan manualmente o mediante diferentes herramientas, como planillas de cálculo, documentos, formularios o aplicaciones independientes, aumenta la dificultad para mantener la información organizada, actualizada y disponible.</w:t>
      </w:r>
    </w:p>
    <w:p>
      <w:pPr>
        <w:spacing w:after="120" w:line="259" w:lineRule="auto"/>
      </w:pPr>
      <w:r>
        <w:t>ASCEND busca centralizar estos procesos dentro de una misma plataforma y automatizar aquellas actividades que puedan ser realizadas por el sistema, facilitando tanto la administración de las competencias como la consulta de su información.</w:t>
      </w:r>
    </w:p>
    <w:p>
      <w:pPr>
        <w:pStyle w:val="Heading2"/>
        <w:spacing w:before="160" w:after="100"/>
      </w:pPr>
      <w:r>
        <w:t>Público objetivo</w:t>
      </w:r>
    </w:p>
    <w:p>
      <w:pPr>
        <w:pStyle w:val="ListBullet"/>
        <w:spacing w:after="60"/>
      </w:pPr>
      <w:r>
        <w:t>Usuario Público: podrá consultar la información pública de la plataforma sin necesidad de iniciar sesión.</w:t>
      </w:r>
    </w:p>
    <w:p>
      <w:pPr>
        <w:pStyle w:val="ListBullet"/>
        <w:spacing w:after="60"/>
      </w:pPr>
      <w:r>
        <w:t>Jugador: usuario registrado que podrá participar en competencias individuales, crear o integrar equipos y consultar su información.</w:t>
      </w:r>
    </w:p>
    <w:p>
      <w:pPr>
        <w:pStyle w:val="ListBullet"/>
        <w:spacing w:after="60"/>
      </w:pPr>
      <w:r>
        <w:t>Organizador: usuario previamente habilitado por un Administrador que podrá crear y administrar torneos.</w:t>
      </w:r>
    </w:p>
    <w:p>
      <w:pPr>
        <w:pStyle w:val="ListBullet"/>
        <w:spacing w:after="60"/>
      </w:pPr>
      <w:r>
        <w:t>Administrador: responsable de la administración general, supervisión y control de la plataforma.</w:t>
      </w:r>
    </w:p>
    <w:p>
      <w:pPr>
        <w:spacing w:after="120" w:line="259" w:lineRule="auto"/>
      </w:pPr>
      <w:r>
        <w:t>Desde una perspectiva comercial, ASCEND estará dirigido principalmente a clubes deportivos, ligas, asociaciones, academias, instituciones educativas, organizadores de torneos y otras organizaciones que gestionen competencias.</w:t>
      </w:r>
    </w:p>
    <w:p>
      <w:pPr>
        <w:spacing w:after="120" w:line="259" w:lineRule="auto"/>
      </w:pPr>
      <w:r>
        <w:t>Los Jugadores y Equipos serán principalmente usuarios finales de la plataforma, mientras que las organizaciones constituirían los potenciales clientes de una futura explotación comercial.</w:t>
      </w:r>
    </w:p>
    <w:p>
      <w:pPr>
        <w:pStyle w:val="Heading2"/>
        <w:spacing w:before="160" w:after="100"/>
      </w:pPr>
      <w:r>
        <w:t>Funciones principales del sistema</w:t>
      </w:r>
    </w:p>
    <w:p>
      <w:pPr>
        <w:pStyle w:val="ListNumber"/>
        <w:spacing w:after="40"/>
      </w:pPr>
      <w:r>
        <w:t>Usuarios y autenticación.</w:t>
      </w:r>
    </w:p>
    <w:p>
      <w:pPr>
        <w:pStyle w:val="ListNumber"/>
        <w:spacing w:after="40"/>
      </w:pPr>
      <w:r>
        <w:t>Gestión de participantes y equipos.</w:t>
      </w:r>
    </w:p>
    <w:p>
      <w:pPr>
        <w:pStyle w:val="ListNumber"/>
        <w:spacing w:after="40"/>
      </w:pPr>
      <w:r>
        <w:t>Torneos.</w:t>
      </w:r>
    </w:p>
    <w:p>
      <w:pPr>
        <w:pStyle w:val="ListNumber"/>
        <w:spacing w:after="40"/>
      </w:pPr>
      <w:r>
        <w:t>Liga.</w:t>
      </w:r>
    </w:p>
    <w:p>
      <w:pPr>
        <w:pStyle w:val="ListNumber"/>
        <w:spacing w:after="40"/>
      </w:pPr>
      <w:r>
        <w:t>Eliminación directa.</w:t>
      </w:r>
    </w:p>
    <w:p>
      <w:pPr>
        <w:pStyle w:val="ListNumber"/>
        <w:spacing w:after="40"/>
      </w:pPr>
      <w:r>
        <w:t>Sistema Suizo.</w:t>
      </w:r>
    </w:p>
    <w:p>
      <w:pPr>
        <w:pStyle w:val="ListNumber"/>
        <w:spacing w:after="40"/>
      </w:pPr>
      <w:r>
        <w:t>Resultados.</w:t>
      </w:r>
    </w:p>
    <w:p>
      <w:pPr>
        <w:pStyle w:val="ListNumber"/>
        <w:spacing w:after="40"/>
      </w:pPr>
      <w:r>
        <w:t>Consulta pública.</w:t>
      </w:r>
    </w:p>
    <w:p>
      <w:pPr>
        <w:pStyle w:val="ListNumber"/>
        <w:spacing w:after="40"/>
      </w:pPr>
      <w:r>
        <w:t>Administración del sistema.</w:t>
      </w:r>
    </w:p>
    <w:p>
      <w:pPr>
        <w:spacing w:after="120" w:line="259" w:lineRule="auto"/>
      </w:pPr>
      <w:r>
        <w:t>El sistema permitirá registrar y autenticar usuarios, conformar equipos con dos referentes, administrar solicitudes de inscripción, crear y publicar torneos, generar enfrentamientos, registrar resultados, actualizar clasificaciones y rankings y permitir la consulta pública de las competencias.</w:t>
      </w:r>
    </w:p>
    <w:p>
      <w:pPr>
        <w:spacing w:after="120" w:line="259" w:lineRule="auto"/>
      </w:pPr>
      <w:r>
        <w:t>ASCEND contemplará las disciplinas Fútbol, Básquetbol, Tenis, League of Legends, Counter-Strike 1.6, EA Sports FC 26, Truco, Catan y Ajedrez. Cada disciplina tendrá definida su modalidad individual o por equipos y los formatos de competencia que puede utilizar.</w:t>
      </w:r>
    </w:p>
    <w:p>
      <w:pPr>
        <w:spacing w:after="120" w:line="259" w:lineRule="auto"/>
      </w:pPr>
      <w:r>
        <w:t>Los formatos de competencia disponibles serán Liga, Eliminación Directa y Sistema Suizo.</w:t>
      </w:r>
    </w:p>
    <w:p>
      <w:pPr>
        <w:pStyle w:val="Heading1"/>
        <w:spacing w:before="160" w:after="100"/>
      </w:pPr>
      <w:r>
        <w:t>3. Objetivo del estudio de factibilidad</w:t>
      </w:r>
    </w:p>
    <w:p>
      <w:pPr>
        <w:spacing w:after="120" w:line="259" w:lineRule="auto"/>
      </w:pPr>
      <w:r>
        <w:t>El objetivo del presente estudio es determinar la viabilidad técnica, económica, operativa y legal del desarrollo e implementación de ASCEND.</w:t>
      </w:r>
    </w:p>
    <w:p>
      <w:pPr>
        <w:spacing w:after="120" w:line="259" w:lineRule="auto"/>
      </w:pPr>
      <w:r>
        <w:t>Para ello se analizarán los recursos tecnológicos y humanos necesarios, la infraestructura requerida, los costos estimados, los beneficios esperados, las necesidades de los usuarios y las condiciones legales relacionadas con la utilización y futura puesta en producción del sistema.</w:t>
      </w:r>
    </w:p>
    <w:p>
      <w:pPr>
        <w:spacing w:after="120" w:line="259" w:lineRule="auto"/>
      </w:pPr>
      <w:r>
        <w:t>El resultado permitirá determinar si existen impedimentos para continuar con el desarrollo y establecer qué aspectos deberán resolverse antes de una futura implementación de ASCEND.</w:t>
      </w:r>
    </w:p>
    <w:p>
      <w:pPr>
        <w:pStyle w:val="Heading1"/>
        <w:spacing w:before="160" w:after="100"/>
      </w:pPr>
      <w:r>
        <w:t>4. Alcance del análisis</w:t>
      </w:r>
    </w:p>
    <w:p>
      <w:pPr>
        <w:spacing w:after="120" w:line="259" w:lineRule="auto"/>
      </w:pPr>
      <w:r>
        <w:t>El estudio comprenderá los principales factores relacionados con el desarrollo y una futura implementación de ASCEND.</w:t>
      </w:r>
    </w:p>
    <w:p>
      <w:pPr>
        <w:spacing w:after="120" w:line="259" w:lineRule="auto"/>
      </w:pPr>
      <w:r>
        <w:t>La factibilidad técnica evaluará las tecnologías, herramientas, infraestructura y capacidades del equipo necesarias para desarrollar y mantener el sistema.</w:t>
      </w:r>
    </w:p>
    <w:p>
      <w:pPr>
        <w:spacing w:after="120" w:line="259" w:lineRule="auto"/>
      </w:pPr>
      <w:r>
        <w:t>La factibilidad económica analizará los costos de desarrollo, infraestructura y operación, junto con los beneficios esperados y una proyección académica de posibles ingresos. Para los costos de infraestructura y operación se tomará como referencia el primer año.</w:t>
      </w:r>
    </w:p>
    <w:p>
      <w:pPr>
        <w:spacing w:after="120" w:line="259" w:lineRule="auto"/>
      </w:pPr>
      <w:r>
        <w:t>La factibilidad operativa evaluará las necesidades identificadas mediante el relevamiento realizado, el impacto que ASCEND tendría sobre los procesos actuales de organización de torneos, la aceptación esperada y las necesidades de capacitación.</w:t>
      </w:r>
    </w:p>
    <w:p>
      <w:pPr>
        <w:spacing w:after="120" w:line="259" w:lineRule="auto"/>
      </w:pPr>
      <w:r>
        <w:t>La factibilidad legal analizará las obligaciones relacionadas con protección de datos personales, propiedad intelectual, licencias de software y demás condiciones necesarias para una futura utilización del sistema.</w:t>
      </w:r>
    </w:p>
    <w:p>
      <w:pPr>
        <w:spacing w:after="120" w:line="259" w:lineRule="auto"/>
      </w:pPr>
      <w:r>
        <w:t>El análisis se limita al alcance actualmente definido para ASCEND. Los modelos de comercialización y funcionalidades correspondientes a eventuales planes comerciales representan alternativas futuras y no forman parte de las funcionalidades actualmente comprometidas.</w:t>
      </w:r>
    </w:p>
    <w:p>
      <w:pPr>
        <w:pStyle w:val="Heading1"/>
        <w:spacing w:before="160" w:after="100"/>
      </w:pPr>
      <w:r>
        <w:t>5. Factibilidad técnica</w:t>
      </w:r>
    </w:p>
    <w:p>
      <w:pPr>
        <w:spacing w:after="120" w:line="259" w:lineRule="auto"/>
      </w:pPr>
      <w:r>
        <w:t>La factibilidad técnica permite determinar si ASCEND puede desarrollarse utilizando los recursos tecnológicos, herramientas, infraestructura y conocimientos disponibles.</w:t>
      </w:r>
    </w:p>
    <w:p>
      <w:pPr>
        <w:pStyle w:val="Heading2"/>
        <w:spacing w:before="160" w:after="100"/>
      </w:pPr>
      <w:r>
        <w:t>5.1 Recursos tecnológicos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vAlign w:val="center"/>
            <w:shd w:fill="D9EAF7"/>
          </w:tcPr>
          <w:p>
            <w:r>
              <w:rPr>
                <w:rFonts w:ascii="Arial" w:hAnsi="Arial"/>
                <w:b/>
                <w:sz w:val="18"/>
              </w:rPr>
              <w:t>Componente</w:t>
            </w:r>
          </w:p>
        </w:tc>
        <w:tc>
          <w:tcPr>
            <w:tcW w:type="dxa" w:w="2379"/>
            <w:vAlign w:val="center"/>
            <w:shd w:fill="D9EAF7"/>
          </w:tcPr>
          <w:p>
            <w:r>
              <w:rPr>
                <w:rFonts w:ascii="Arial" w:hAnsi="Arial"/>
                <w:b/>
                <w:sz w:val="18"/>
              </w:rPr>
              <w:t>Recurso requerido</w:t>
            </w:r>
          </w:p>
        </w:tc>
        <w:tc>
          <w:tcPr>
            <w:tcW w:type="dxa" w:w="2379"/>
            <w:vAlign w:val="center"/>
            <w:shd w:fill="D9EAF7"/>
          </w:tcPr>
          <w:p>
            <w:r>
              <w:rPr>
                <w:rFonts w:ascii="Arial" w:hAnsi="Arial"/>
                <w:b/>
                <w:sz w:val="18"/>
              </w:rPr>
              <w:t>Situación actual</w:t>
            </w:r>
          </w:p>
        </w:tc>
        <w:tc>
          <w:tcPr>
            <w:tcW w:type="dxa" w:w="2379"/>
            <w:vAlign w:val="center"/>
            <w:shd w:fill="D9EAF7"/>
          </w:tcPr>
          <w:p>
            <w:r>
              <w:rPr>
                <w:rFonts w:ascii="Arial" w:hAnsi="Arial"/>
                <w:b/>
                <w:sz w:val="18"/>
              </w:rPr>
              <w:t>Viabilidad</w:t>
            </w:r>
          </w:p>
        </w:tc>
      </w:tr>
      <w:tr>
        <w:tc>
          <w:tcPr>
            <w:tcW w:type="dxa" w:w="2379"/>
            <w:vAlign w:val="top"/>
          </w:tcPr>
          <w:p>
            <w:r>
              <w:rPr>
                <w:rFonts w:ascii="Arial" w:hAnsi="Arial"/>
                <w:sz w:val="18"/>
              </w:rPr>
              <w:t>Frontend</w:t>
            </w:r>
          </w:p>
        </w:tc>
        <w:tc>
          <w:tcPr>
            <w:tcW w:type="dxa" w:w="2379"/>
            <w:vAlign w:val="top"/>
          </w:tcPr>
          <w:p>
            <w:r>
              <w:rPr>
                <w:rFonts w:ascii="Arial" w:hAnsi="Arial"/>
                <w:sz w:val="18"/>
              </w:rPr>
              <w:t>HTML, CSS y JavaScript</w:t>
            </w:r>
          </w:p>
        </w:tc>
        <w:tc>
          <w:tcPr>
            <w:tcW w:type="dxa" w:w="2379"/>
            <w:vAlign w:val="top"/>
          </w:tcPr>
          <w:p>
            <w:r>
              <w:rPr>
                <w:rFonts w:ascii="Arial" w:hAnsi="Arial"/>
                <w:sz w:val="18"/>
              </w:rPr>
              <w:t>Tecnologías definidas para el proyecto</w:t>
            </w:r>
          </w:p>
        </w:tc>
        <w:tc>
          <w:tcPr>
            <w:tcW w:type="dxa" w:w="2379"/>
            <w:vAlign w:val="top"/>
          </w:tcPr>
          <w:p>
            <w:r>
              <w:rPr>
                <w:rFonts w:ascii="Arial" w:hAnsi="Arial"/>
                <w:sz w:val="18"/>
              </w:rPr>
              <w:t>Alta</w:t>
            </w:r>
          </w:p>
        </w:tc>
      </w:tr>
      <w:tr>
        <w:tc>
          <w:tcPr>
            <w:tcW w:type="dxa" w:w="2379"/>
            <w:vAlign w:val="top"/>
          </w:tcPr>
          <w:p>
            <w:r>
              <w:rPr>
                <w:rFonts w:ascii="Arial" w:hAnsi="Arial"/>
                <w:sz w:val="18"/>
              </w:rPr>
              <w:t>Backend</w:t>
            </w:r>
          </w:p>
        </w:tc>
        <w:tc>
          <w:tcPr>
            <w:tcW w:type="dxa" w:w="2379"/>
            <w:vAlign w:val="top"/>
          </w:tcPr>
          <w:p>
            <w:r>
              <w:rPr>
                <w:rFonts w:ascii="Arial" w:hAnsi="Arial"/>
                <w:sz w:val="18"/>
              </w:rPr>
              <w:t>PHP</w:t>
            </w:r>
          </w:p>
        </w:tc>
        <w:tc>
          <w:tcPr>
            <w:tcW w:type="dxa" w:w="2379"/>
            <w:vAlign w:val="top"/>
          </w:tcPr>
          <w:p>
            <w:r>
              <w:rPr>
                <w:rFonts w:ascii="Arial" w:hAnsi="Arial"/>
                <w:sz w:val="18"/>
              </w:rPr>
              <w:t>Tecnología definida para el proyecto</w:t>
            </w:r>
          </w:p>
        </w:tc>
        <w:tc>
          <w:tcPr>
            <w:tcW w:type="dxa" w:w="2379"/>
            <w:vAlign w:val="top"/>
          </w:tcPr>
          <w:p>
            <w:r>
              <w:rPr>
                <w:rFonts w:ascii="Arial" w:hAnsi="Arial"/>
                <w:sz w:val="18"/>
              </w:rPr>
              <w:t>Alta</w:t>
            </w:r>
          </w:p>
        </w:tc>
      </w:tr>
      <w:tr>
        <w:tc>
          <w:tcPr>
            <w:tcW w:type="dxa" w:w="2379"/>
            <w:vAlign w:val="top"/>
          </w:tcPr>
          <w:p>
            <w:r>
              <w:rPr>
                <w:rFonts w:ascii="Arial" w:hAnsi="Arial"/>
                <w:sz w:val="18"/>
              </w:rPr>
              <w:t>Base de datos</w:t>
            </w:r>
          </w:p>
        </w:tc>
        <w:tc>
          <w:tcPr>
            <w:tcW w:type="dxa" w:w="2379"/>
            <w:vAlign w:val="top"/>
          </w:tcPr>
          <w:p>
            <w:r>
              <w:rPr>
                <w:rFonts w:ascii="Arial" w:hAnsi="Arial"/>
                <w:sz w:val="18"/>
              </w:rPr>
              <w:t>MySQL</w:t>
            </w:r>
          </w:p>
        </w:tc>
        <w:tc>
          <w:tcPr>
            <w:tcW w:type="dxa" w:w="2379"/>
            <w:vAlign w:val="top"/>
          </w:tcPr>
          <w:p>
            <w:r>
              <w:rPr>
                <w:rFonts w:ascii="Arial" w:hAnsi="Arial"/>
                <w:sz w:val="18"/>
              </w:rPr>
              <w:t>Tecnología definida para el proyecto</w:t>
            </w:r>
          </w:p>
        </w:tc>
        <w:tc>
          <w:tcPr>
            <w:tcW w:type="dxa" w:w="2379"/>
            <w:vAlign w:val="top"/>
          </w:tcPr>
          <w:p>
            <w:r>
              <w:rPr>
                <w:rFonts w:ascii="Arial" w:hAnsi="Arial"/>
                <w:sz w:val="18"/>
              </w:rPr>
              <w:t>Alta</w:t>
            </w:r>
          </w:p>
        </w:tc>
      </w:tr>
      <w:tr>
        <w:tc>
          <w:tcPr>
            <w:tcW w:type="dxa" w:w="2379"/>
            <w:vAlign w:val="top"/>
          </w:tcPr>
          <w:p>
            <w:r>
              <w:rPr>
                <w:rFonts w:ascii="Arial" w:hAnsi="Arial"/>
                <w:sz w:val="18"/>
              </w:rPr>
              <w:t>Arquitectura</w:t>
            </w:r>
          </w:p>
        </w:tc>
        <w:tc>
          <w:tcPr>
            <w:tcW w:type="dxa" w:w="2379"/>
            <w:vAlign w:val="top"/>
          </w:tcPr>
          <w:p>
            <w:r>
              <w:rPr>
                <w:rFonts w:ascii="Arial" w:hAnsi="Arial"/>
                <w:sz w:val="18"/>
              </w:rPr>
              <w:t>MVC y estructura modular</w:t>
            </w:r>
          </w:p>
        </w:tc>
        <w:tc>
          <w:tcPr>
            <w:tcW w:type="dxa" w:w="2379"/>
            <w:vAlign w:val="top"/>
          </w:tcPr>
          <w:p>
            <w:r>
              <w:rPr>
                <w:rFonts w:ascii="Arial" w:hAnsi="Arial"/>
                <w:sz w:val="18"/>
              </w:rPr>
              <w:t>Definida para ASCEND</w:t>
            </w:r>
          </w:p>
        </w:tc>
        <w:tc>
          <w:tcPr>
            <w:tcW w:type="dxa" w:w="2379"/>
            <w:vAlign w:val="top"/>
          </w:tcPr>
          <w:p>
            <w:r>
              <w:rPr>
                <w:rFonts w:ascii="Arial" w:hAnsi="Arial"/>
                <w:sz w:val="18"/>
              </w:rPr>
              <w:t>Alta</w:t>
            </w:r>
          </w:p>
        </w:tc>
      </w:tr>
      <w:tr>
        <w:tc>
          <w:tcPr>
            <w:tcW w:type="dxa" w:w="2379"/>
            <w:vAlign w:val="top"/>
          </w:tcPr>
          <w:p>
            <w:r>
              <w:rPr>
                <w:rFonts w:ascii="Arial" w:hAnsi="Arial"/>
                <w:sz w:val="18"/>
              </w:rPr>
              <w:t>Control de versiones</w:t>
            </w:r>
          </w:p>
        </w:tc>
        <w:tc>
          <w:tcPr>
            <w:tcW w:type="dxa" w:w="2379"/>
            <w:vAlign w:val="top"/>
          </w:tcPr>
          <w:p>
            <w:r>
              <w:rPr>
                <w:rFonts w:ascii="Arial" w:hAnsi="Arial"/>
                <w:sz w:val="18"/>
              </w:rPr>
              <w:t>Git/GitHub</w:t>
            </w:r>
          </w:p>
        </w:tc>
        <w:tc>
          <w:tcPr>
            <w:tcW w:type="dxa" w:w="2379"/>
            <w:vAlign w:val="top"/>
          </w:tcPr>
          <w:p>
            <w:r>
              <w:rPr>
                <w:rFonts w:ascii="Arial" w:hAnsi="Arial"/>
                <w:sz w:val="18"/>
              </w:rPr>
              <w:t>Utilizado por el equipo</w:t>
            </w:r>
          </w:p>
        </w:tc>
        <w:tc>
          <w:tcPr>
            <w:tcW w:type="dxa" w:w="2379"/>
            <w:vAlign w:val="top"/>
          </w:tcPr>
          <w:p>
            <w:r>
              <w:rPr>
                <w:rFonts w:ascii="Arial" w:hAnsi="Arial"/>
                <w:sz w:val="18"/>
              </w:rPr>
              <w:t>Alta</w:t>
            </w:r>
          </w:p>
        </w:tc>
      </w:tr>
      <w:tr>
        <w:tc>
          <w:tcPr>
            <w:tcW w:type="dxa" w:w="2379"/>
            <w:vAlign w:val="top"/>
          </w:tcPr>
          <w:p>
            <w:r>
              <w:rPr>
                <w:rFonts w:ascii="Arial" w:hAnsi="Arial"/>
                <w:sz w:val="18"/>
              </w:rPr>
              <w:t>Contenedores</w:t>
            </w:r>
          </w:p>
        </w:tc>
        <w:tc>
          <w:tcPr>
            <w:tcW w:type="dxa" w:w="2379"/>
            <w:vAlign w:val="top"/>
          </w:tcPr>
          <w:p>
            <w:r>
              <w:rPr>
                <w:rFonts w:ascii="Arial" w:hAnsi="Arial"/>
                <w:sz w:val="18"/>
              </w:rPr>
              <w:t>Docker</w:t>
            </w:r>
          </w:p>
        </w:tc>
        <w:tc>
          <w:tcPr>
            <w:tcW w:type="dxa" w:w="2379"/>
            <w:vAlign w:val="top"/>
          </w:tcPr>
          <w:p>
            <w:r>
              <w:rPr>
                <w:rFonts w:ascii="Arial" w:hAnsi="Arial"/>
                <w:sz w:val="18"/>
              </w:rPr>
              <w:t>Previsto para el despliegue</w:t>
            </w:r>
          </w:p>
        </w:tc>
        <w:tc>
          <w:tcPr>
            <w:tcW w:type="dxa" w:w="2379"/>
            <w:vAlign w:val="top"/>
          </w:tcPr>
          <w:p>
            <w:r>
              <w:rPr>
                <w:rFonts w:ascii="Arial" w:hAnsi="Arial"/>
                <w:sz w:val="18"/>
              </w:rPr>
              <w:t>Alta</w:t>
            </w:r>
          </w:p>
        </w:tc>
      </w:tr>
      <w:tr>
        <w:tc>
          <w:tcPr>
            <w:tcW w:type="dxa" w:w="2379"/>
            <w:vAlign w:val="top"/>
          </w:tcPr>
          <w:p>
            <w:r>
              <w:rPr>
                <w:rFonts w:ascii="Arial" w:hAnsi="Arial"/>
                <w:sz w:val="18"/>
              </w:rPr>
              <w:t>Equipos de desarrollo</w:t>
            </w:r>
          </w:p>
        </w:tc>
        <w:tc>
          <w:tcPr>
            <w:tcW w:type="dxa" w:w="2379"/>
            <w:vAlign w:val="top"/>
          </w:tcPr>
          <w:p>
            <w:r>
              <w:rPr>
                <w:rFonts w:ascii="Arial" w:hAnsi="Arial"/>
                <w:sz w:val="18"/>
              </w:rPr>
              <w:t>Computadoras personales</w:t>
            </w:r>
          </w:p>
        </w:tc>
        <w:tc>
          <w:tcPr>
            <w:tcW w:type="dxa" w:w="2379"/>
            <w:vAlign w:val="top"/>
          </w:tcPr>
          <w:p>
            <w:r>
              <w:rPr>
                <w:rFonts w:ascii="Arial" w:hAnsi="Arial"/>
                <w:sz w:val="18"/>
              </w:rPr>
              <w:t>Disponibles</w:t>
            </w:r>
          </w:p>
        </w:tc>
        <w:tc>
          <w:tcPr>
            <w:tcW w:type="dxa" w:w="2379"/>
            <w:vAlign w:val="top"/>
          </w:tcPr>
          <w:p>
            <w:r>
              <w:rPr>
                <w:rFonts w:ascii="Arial" w:hAnsi="Arial"/>
                <w:sz w:val="18"/>
              </w:rPr>
              <w:t>Alta</w:t>
            </w:r>
          </w:p>
        </w:tc>
      </w:tr>
      <w:tr>
        <w:tc>
          <w:tcPr>
            <w:tcW w:type="dxa" w:w="2379"/>
            <w:vAlign w:val="top"/>
          </w:tcPr>
          <w:p>
            <w:r>
              <w:rPr>
                <w:rFonts w:ascii="Arial" w:hAnsi="Arial"/>
                <w:sz w:val="18"/>
              </w:rPr>
              <w:t>Entorno de pruebas</w:t>
            </w:r>
          </w:p>
        </w:tc>
        <w:tc>
          <w:tcPr>
            <w:tcW w:type="dxa" w:w="2379"/>
            <w:vAlign w:val="top"/>
          </w:tcPr>
          <w:p>
            <w:r>
              <w:rPr>
                <w:rFonts w:ascii="Arial" w:hAnsi="Arial"/>
                <w:sz w:val="18"/>
              </w:rPr>
              <w:t>Equipos y entorno local</w:t>
            </w:r>
          </w:p>
        </w:tc>
        <w:tc>
          <w:tcPr>
            <w:tcW w:type="dxa" w:w="2379"/>
            <w:vAlign w:val="top"/>
          </w:tcPr>
          <w:p>
            <w:r>
              <w:rPr>
                <w:rFonts w:ascii="Arial" w:hAnsi="Arial"/>
                <w:sz w:val="18"/>
              </w:rPr>
              <w:t>Disponibles</w:t>
            </w:r>
          </w:p>
        </w:tc>
        <w:tc>
          <w:tcPr>
            <w:tcW w:type="dxa" w:w="2379"/>
            <w:vAlign w:val="top"/>
          </w:tcPr>
          <w:p>
            <w:r>
              <w:rPr>
                <w:rFonts w:ascii="Arial" w:hAnsi="Arial"/>
                <w:sz w:val="18"/>
              </w:rPr>
              <w:t>Alta</w:t>
            </w:r>
          </w:p>
        </w:tc>
      </w:tr>
      <w:tr>
        <w:tc>
          <w:tcPr>
            <w:tcW w:type="dxa" w:w="2379"/>
            <w:vAlign w:val="top"/>
          </w:tcPr>
          <w:p>
            <w:r>
              <w:rPr>
                <w:rFonts w:ascii="Arial" w:hAnsi="Arial"/>
                <w:sz w:val="18"/>
              </w:rPr>
              <w:t>Servidor de producción</w:t>
            </w:r>
          </w:p>
        </w:tc>
        <w:tc>
          <w:tcPr>
            <w:tcW w:type="dxa" w:w="2379"/>
            <w:vAlign w:val="top"/>
          </w:tcPr>
          <w:p>
            <w:r>
              <w:rPr>
                <w:rFonts w:ascii="Arial" w:hAnsi="Arial"/>
                <w:sz w:val="18"/>
              </w:rPr>
              <w:t>Hosting/VPS compatible</w:t>
            </w:r>
          </w:p>
        </w:tc>
        <w:tc>
          <w:tcPr>
            <w:tcW w:type="dxa" w:w="2379"/>
            <w:vAlign w:val="top"/>
          </w:tcPr>
          <w:p>
            <w:r>
              <w:rPr>
                <w:rFonts w:ascii="Arial" w:hAnsi="Arial"/>
                <w:sz w:val="18"/>
              </w:rPr>
              <w:t>Pendiente de contratación</w:t>
            </w:r>
          </w:p>
        </w:tc>
        <w:tc>
          <w:tcPr>
            <w:tcW w:type="dxa" w:w="2379"/>
            <w:vAlign w:val="top"/>
          </w:tcPr>
          <w:p>
            <w:r>
              <w:rPr>
                <w:rFonts w:ascii="Arial" w:hAnsi="Arial"/>
                <w:sz w:val="18"/>
              </w:rPr>
              <w:t>Media</w:t>
            </w:r>
          </w:p>
        </w:tc>
      </w:tr>
      <w:tr>
        <w:tc>
          <w:tcPr>
            <w:tcW w:type="dxa" w:w="2379"/>
            <w:vAlign w:val="top"/>
          </w:tcPr>
          <w:p>
            <w:r>
              <w:rPr>
                <w:rFonts w:ascii="Arial" w:hAnsi="Arial"/>
                <w:sz w:val="18"/>
              </w:rPr>
              <w:t>Dominio</w:t>
            </w:r>
          </w:p>
        </w:tc>
        <w:tc>
          <w:tcPr>
            <w:tcW w:type="dxa" w:w="2379"/>
            <w:vAlign w:val="top"/>
          </w:tcPr>
          <w:p>
            <w:r>
              <w:rPr>
                <w:rFonts w:ascii="Arial" w:hAnsi="Arial"/>
                <w:sz w:val="18"/>
              </w:rPr>
              <w:t>Dominio web</w:t>
            </w:r>
          </w:p>
        </w:tc>
        <w:tc>
          <w:tcPr>
            <w:tcW w:type="dxa" w:w="2379"/>
            <w:vAlign w:val="top"/>
          </w:tcPr>
          <w:p>
            <w:r>
              <w:rPr>
                <w:rFonts w:ascii="Arial" w:hAnsi="Arial"/>
                <w:sz w:val="18"/>
              </w:rPr>
              <w:t>Pendiente de contratación</w:t>
            </w:r>
          </w:p>
        </w:tc>
        <w:tc>
          <w:tcPr>
            <w:tcW w:type="dxa" w:w="2379"/>
            <w:vAlign w:val="top"/>
          </w:tcPr>
          <w:p>
            <w:r>
              <w:rPr>
                <w:rFonts w:ascii="Arial" w:hAnsi="Arial"/>
                <w:sz w:val="18"/>
              </w:rPr>
              <w:t>Media</w:t>
            </w:r>
          </w:p>
        </w:tc>
      </w:tr>
      <w:tr>
        <w:tc>
          <w:tcPr>
            <w:tcW w:type="dxa" w:w="2379"/>
            <w:vAlign w:val="top"/>
          </w:tcPr>
          <w:p>
            <w:r>
              <w:rPr>
                <w:rFonts w:ascii="Arial" w:hAnsi="Arial"/>
                <w:sz w:val="18"/>
              </w:rPr>
              <w:t>Certificado SSL</w:t>
            </w:r>
          </w:p>
        </w:tc>
        <w:tc>
          <w:tcPr>
            <w:tcW w:type="dxa" w:w="2379"/>
            <w:vAlign w:val="top"/>
          </w:tcPr>
          <w:p>
            <w:r>
              <w:rPr>
                <w:rFonts w:ascii="Arial" w:hAnsi="Arial"/>
                <w:sz w:val="18"/>
              </w:rPr>
              <w:t>Certificado HTTPS</w:t>
            </w:r>
          </w:p>
        </w:tc>
        <w:tc>
          <w:tcPr>
            <w:tcW w:type="dxa" w:w="2379"/>
            <w:vAlign w:val="top"/>
          </w:tcPr>
          <w:p>
            <w:r>
              <w:rPr>
                <w:rFonts w:ascii="Arial" w:hAnsi="Arial"/>
                <w:sz w:val="18"/>
              </w:rPr>
              <w:t>Alternativas gratuitas disponibles</w:t>
            </w:r>
          </w:p>
        </w:tc>
        <w:tc>
          <w:tcPr>
            <w:tcW w:type="dxa" w:w="2379"/>
            <w:vAlign w:val="top"/>
          </w:tcPr>
          <w:p>
            <w:r>
              <w:rPr>
                <w:rFonts w:ascii="Arial" w:hAnsi="Arial"/>
                <w:sz w:val="18"/>
              </w:rPr>
              <w:t>Alta</w:t>
            </w:r>
          </w:p>
        </w:tc>
      </w:tr>
    </w:tbl>
    <w:p/>
    <w:p>
      <w:pPr>
        <w:spacing w:after="120" w:line="259" w:lineRule="auto"/>
      </w:pPr>
      <w:r>
        <w:t>Las tecnologías principales necesarias para el desarrollo ya se encuentran definidas: HTML, CSS y JavaScript para el frontend, PHP para el backend y MySQL para la base de datos.</w:t>
      </w:r>
    </w:p>
    <w:p>
      <w:pPr>
        <w:spacing w:after="120" w:line="259" w:lineRule="auto"/>
      </w:pPr>
      <w:r>
        <w:t>El proyecto mantendrá una organización mediante el patrón Modelo-Vista-Controlador (MVC), separando las responsabilidades de presentación, lógica y acceso a los datos. Asimismo, se utilizará una estructura modular que permita organizar las diferentes áreas funcionales de ASCEND.</w:t>
      </w:r>
    </w:p>
    <w:p>
      <w:pPr>
        <w:pStyle w:val="Heading2"/>
        <w:spacing w:before="160" w:after="100"/>
      </w:pPr>
      <w:r>
        <w:t>5.2 Hardware e infraestructura</w:t>
      </w:r>
    </w:p>
    <w:p>
      <w:pPr>
        <w:spacing w:after="120" w:line="259" w:lineRule="auto"/>
      </w:pPr>
      <w:r>
        <w:t>El desarrollo no requiere hardware especializado. Los integrantes podrán utilizar sus computadoras personales para programación, diseño, documentación y pruebas.</w:t>
      </w:r>
    </w:p>
    <w:p>
      <w:pPr>
        <w:spacing w:after="120" w:line="259" w:lineRule="auto"/>
      </w:pPr>
      <w:r>
        <w:t>Durante la etapa de desarrollo se utilizará un entorno local, por lo que no resulta necesaria la contratación inmediata de infraestructura externa.</w:t>
      </w:r>
    </w:p>
    <w:p>
      <w:pPr>
        <w:spacing w:after="120" w:line="259" w:lineRule="auto"/>
      </w:pPr>
      <w:r>
        <w:t>Para una futura puesta en producción será necesario contratar y configurar un servicio de hosting o VPS compatible con las tecnologías utilizadas, además de disponer de un dominio y configurar HTTPS.</w:t>
      </w:r>
    </w:p>
    <w:p>
      <w:pPr>
        <w:pStyle w:val="Heading2"/>
        <w:spacing w:before="160" w:after="100"/>
      </w:pPr>
      <w:r>
        <w:t>5.3 Capacidades del equipo de desarrollo</w:t>
      </w:r>
    </w:p>
    <w:p>
      <w:pPr>
        <w:spacing w:after="120" w:line="259" w:lineRule="auto"/>
      </w:pPr>
      <w:r>
        <w:t>El proyecto es desarrollado por un equipo de cuatro integrantes cuyas responsabilidades abarcan las principales áreas necesarias: programación y lógica del sistema, frontend y experiencia de usuario, coordinación y soporte, y testing/control de calidad.</w:t>
      </w:r>
    </w:p>
    <w:p>
      <w:pPr>
        <w:spacing w:after="120" w:line="259" w:lineRule="auto"/>
      </w:pPr>
      <w:r>
        <w:t>La distribución de tareas permite cubrir análisis, diseño, programación, base de datos, pruebas, documentación y coordinación. Al tratarse además de un proyecto académico, el desarrollo permite continuar adquiriendo los conocimientos necesarios durante su realización.</w:t>
      </w:r>
    </w:p>
    <w:p>
      <w:pPr>
        <w:pStyle w:val="Heading2"/>
        <w:spacing w:before="160" w:after="100"/>
      </w:pPr>
      <w:r>
        <w:t>5.4 Riesgos técnicos</w:t>
      </w:r>
    </w:p>
    <w:p>
      <w:pPr>
        <w:spacing w:after="120" w:line="259" w:lineRule="auto"/>
      </w:pPr>
      <w:r>
        <w:t>El principal aspecto técnico pendiente se encuentra relacionado con el entorno de producción. Aunque el desarrollo y las pruebas pueden realizarse con los recursos actuales, será necesario seleccionar, contratar y configurar el servidor definitivo antes de publicar ASCEND.</w:t>
      </w:r>
    </w:p>
    <w:p>
      <w:pPr>
        <w:spacing w:after="120" w:line="259" w:lineRule="auto"/>
      </w:pPr>
      <w:r>
        <w:t>También deberá comprobarse mediante pruebas que el sistema mantenga un funcionamiento adecuado cuando aumente la cantidad de usuarios, torneos, equipos, enfrentamientos y resultados almacenados.</w:t>
      </w:r>
    </w:p>
    <w:p>
      <w:pPr>
        <w:pStyle w:val="Heading2"/>
        <w:spacing w:before="160" w:after="100"/>
      </w:pPr>
      <w:r>
        <w:t>5.5 Conclusión de factibilidad técnica</w:t>
      </w:r>
    </w:p>
    <w:p>
      <w:pPr>
        <w:spacing w:after="120" w:line="259" w:lineRule="auto"/>
      </w:pPr>
      <w:r>
        <w:t>La factibilidad técnica de ASCEND se considera alta.</w:t>
      </w:r>
    </w:p>
    <w:p>
      <w:pPr>
        <w:spacing w:after="120" w:line="259" w:lineRule="auto"/>
      </w:pPr>
      <w:r>
        <w:t>Las tecnologías y herramientas requeridas están disponibles y el proyecto no necesita hardware especializado durante el desarrollo. El equipo dispone de computadoras y herramientas suficientes para continuar trabajando.</w:t>
      </w:r>
    </w:p>
    <w:p>
      <w:pPr>
        <w:spacing w:after="120" w:line="259" w:lineRule="auto"/>
      </w:pPr>
      <w:r>
        <w:t>La principal condición pendiente será definir y configurar la infraestructura definitiva antes de una futura puesta en producción.</w:t>
      </w:r>
    </w:p>
    <w:p>
      <w:pPr>
        <w:pStyle w:val="Heading1"/>
        <w:spacing w:before="160" w:after="100"/>
      </w:pPr>
      <w:r>
        <w:t>6. Factibilidad económica</w:t>
      </w:r>
    </w:p>
    <w:p>
      <w:pPr>
        <w:spacing w:after="120" w:line="259" w:lineRule="auto"/>
      </w:pPr>
      <w:r>
        <w:t>La factibilidad económica analiza los recursos económicos necesarios para desarrollar, implementar y mantener ASCEND y los compara con los beneficios y posibles ingresos que podría generar el proyecto.</w:t>
      </w:r>
    </w:p>
    <w:p>
      <w:pPr>
        <w:spacing w:after="120" w:line="259" w:lineRule="auto"/>
      </w:pPr>
      <w:r>
        <w:t>Para este análisis se considera un período de seis meses de desarrollo. Los valores económicos utilizados son estimaciones realizadas con fines académicos.</w:t>
      </w:r>
    </w:p>
    <w:p>
      <w:pPr>
        <w:pStyle w:val="Heading2"/>
        <w:spacing w:before="160" w:after="100"/>
      </w:pPr>
      <w:r>
        <w:t>6.1 Costos de desarrollo (CAPEX)</w:t>
      </w:r>
    </w:p>
    <w:p>
      <w:pPr>
        <w:spacing w:after="120" w:line="259" w:lineRule="auto"/>
      </w:pPr>
      <w:r>
        <w:t>El costo de desarrollo representa el trabajo realizado por los cuatro integrantes en análisis, diseño, programación, desarrollo de base de datos, pruebas, documentación, reuniones y corrección de errores.</w:t>
      </w:r>
    </w:p>
    <w:p>
      <w:pPr>
        <w:spacing w:after="120" w:line="259" w:lineRule="auto"/>
      </w:pPr>
      <w:r>
        <w:t>Se estima una dedicación promedio de 30 horas mensuales por integrante.</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D9EAF7"/>
          </w:tcPr>
          <w:p>
            <w:r>
              <w:rPr>
                <w:rFonts w:ascii="Arial" w:hAnsi="Arial"/>
                <w:b/>
                <w:sz w:val="18"/>
              </w:rPr>
              <w:t>Concepto</w:t>
            </w:r>
          </w:p>
        </w:tc>
        <w:tc>
          <w:tcPr>
            <w:tcW w:type="dxa" w:w="3173"/>
            <w:vAlign w:val="center"/>
            <w:shd w:fill="D9EAF7"/>
          </w:tcPr>
          <w:p>
            <w:r>
              <w:rPr>
                <w:rFonts w:ascii="Arial" w:hAnsi="Arial"/>
                <w:b/>
                <w:sz w:val="18"/>
              </w:rPr>
              <w:t>Cálculo</w:t>
            </w:r>
          </w:p>
        </w:tc>
        <w:tc>
          <w:tcPr>
            <w:tcW w:type="dxa" w:w="3173"/>
            <w:vAlign w:val="center"/>
            <w:shd w:fill="D9EAF7"/>
          </w:tcPr>
          <w:p>
            <w:r>
              <w:rPr>
                <w:rFonts w:ascii="Arial" w:hAnsi="Arial"/>
                <w:b/>
                <w:sz w:val="18"/>
              </w:rPr>
              <w:t>Resultado</w:t>
            </w:r>
          </w:p>
        </w:tc>
      </w:tr>
      <w:tr>
        <w:tc>
          <w:tcPr>
            <w:tcW w:type="dxa" w:w="3173"/>
            <w:vAlign w:val="top"/>
          </w:tcPr>
          <w:p>
            <w:r>
              <w:rPr>
                <w:rFonts w:ascii="Arial" w:hAnsi="Arial"/>
                <w:sz w:val="18"/>
              </w:rPr>
              <w:t>Horas mensuales por integrante</w:t>
            </w:r>
          </w:p>
        </w:tc>
        <w:tc>
          <w:tcPr>
            <w:tcW w:type="dxa" w:w="3173"/>
            <w:vAlign w:val="top"/>
          </w:tcPr>
          <w:p>
            <w:r>
              <w:rPr>
                <w:rFonts w:ascii="Arial" w:hAnsi="Arial"/>
                <w:sz w:val="18"/>
              </w:rPr>
              <w:t>-</w:t>
            </w:r>
          </w:p>
        </w:tc>
        <w:tc>
          <w:tcPr>
            <w:tcW w:type="dxa" w:w="3173"/>
            <w:vAlign w:val="top"/>
          </w:tcPr>
          <w:p>
            <w:r>
              <w:rPr>
                <w:rFonts w:ascii="Arial" w:hAnsi="Arial"/>
                <w:sz w:val="18"/>
              </w:rPr>
              <w:t>30 h</w:t>
            </w:r>
          </w:p>
        </w:tc>
      </w:tr>
      <w:tr>
        <w:tc>
          <w:tcPr>
            <w:tcW w:type="dxa" w:w="3173"/>
            <w:vAlign w:val="top"/>
          </w:tcPr>
          <w:p>
            <w:r>
              <w:rPr>
                <w:rFonts w:ascii="Arial" w:hAnsi="Arial"/>
                <w:sz w:val="18"/>
              </w:rPr>
              <w:t>Integrantes</w:t>
            </w:r>
          </w:p>
        </w:tc>
        <w:tc>
          <w:tcPr>
            <w:tcW w:type="dxa" w:w="3173"/>
            <w:vAlign w:val="top"/>
          </w:tcPr>
          <w:p>
            <w:r>
              <w:rPr>
                <w:rFonts w:ascii="Arial" w:hAnsi="Arial"/>
                <w:sz w:val="18"/>
              </w:rPr>
              <w:t>-</w:t>
            </w:r>
          </w:p>
        </w:tc>
        <w:tc>
          <w:tcPr>
            <w:tcW w:type="dxa" w:w="3173"/>
            <w:vAlign w:val="top"/>
          </w:tcPr>
          <w:p>
            <w:r>
              <w:rPr>
                <w:rFonts w:ascii="Arial" w:hAnsi="Arial"/>
                <w:sz w:val="18"/>
              </w:rPr>
              <w:t>4</w:t>
            </w:r>
          </w:p>
        </w:tc>
      </w:tr>
      <w:tr>
        <w:tc>
          <w:tcPr>
            <w:tcW w:type="dxa" w:w="3173"/>
            <w:vAlign w:val="top"/>
          </w:tcPr>
          <w:p>
            <w:r>
              <w:rPr>
                <w:rFonts w:ascii="Arial" w:hAnsi="Arial"/>
                <w:sz w:val="18"/>
              </w:rPr>
              <w:t>Horas mensuales totales</w:t>
            </w:r>
          </w:p>
        </w:tc>
        <w:tc>
          <w:tcPr>
            <w:tcW w:type="dxa" w:w="3173"/>
            <w:vAlign w:val="top"/>
          </w:tcPr>
          <w:p>
            <w:r>
              <w:rPr>
                <w:rFonts w:ascii="Arial" w:hAnsi="Arial"/>
                <w:sz w:val="18"/>
              </w:rPr>
              <w:t>30 x 4</w:t>
            </w:r>
          </w:p>
        </w:tc>
        <w:tc>
          <w:tcPr>
            <w:tcW w:type="dxa" w:w="3173"/>
            <w:vAlign w:val="top"/>
          </w:tcPr>
          <w:p>
            <w:r>
              <w:rPr>
                <w:rFonts w:ascii="Arial" w:hAnsi="Arial"/>
                <w:sz w:val="18"/>
              </w:rPr>
              <w:t>120 h</w:t>
            </w:r>
          </w:p>
        </w:tc>
      </w:tr>
      <w:tr>
        <w:tc>
          <w:tcPr>
            <w:tcW w:type="dxa" w:w="3173"/>
            <w:vAlign w:val="top"/>
          </w:tcPr>
          <w:p>
            <w:r>
              <w:rPr>
                <w:rFonts w:ascii="Arial" w:hAnsi="Arial"/>
                <w:sz w:val="18"/>
              </w:rPr>
              <w:t>Período de desarrollo</w:t>
            </w:r>
          </w:p>
        </w:tc>
        <w:tc>
          <w:tcPr>
            <w:tcW w:type="dxa" w:w="3173"/>
            <w:vAlign w:val="top"/>
          </w:tcPr>
          <w:p>
            <w:r>
              <w:rPr>
                <w:rFonts w:ascii="Arial" w:hAnsi="Arial"/>
                <w:sz w:val="18"/>
              </w:rPr>
              <w:t>-</w:t>
            </w:r>
          </w:p>
        </w:tc>
        <w:tc>
          <w:tcPr>
            <w:tcW w:type="dxa" w:w="3173"/>
            <w:vAlign w:val="top"/>
          </w:tcPr>
          <w:p>
            <w:r>
              <w:rPr>
                <w:rFonts w:ascii="Arial" w:hAnsi="Arial"/>
                <w:sz w:val="18"/>
              </w:rPr>
              <w:t>6 meses</w:t>
            </w:r>
          </w:p>
        </w:tc>
      </w:tr>
      <w:tr>
        <w:tc>
          <w:tcPr>
            <w:tcW w:type="dxa" w:w="3173"/>
            <w:vAlign w:val="top"/>
          </w:tcPr>
          <w:p>
            <w:r>
              <w:rPr>
                <w:rFonts w:ascii="Arial" w:hAnsi="Arial"/>
                <w:sz w:val="18"/>
              </w:rPr>
              <w:t>Horas totales</w:t>
            </w:r>
          </w:p>
        </w:tc>
        <w:tc>
          <w:tcPr>
            <w:tcW w:type="dxa" w:w="3173"/>
            <w:vAlign w:val="top"/>
          </w:tcPr>
          <w:p>
            <w:r>
              <w:rPr>
                <w:rFonts w:ascii="Arial" w:hAnsi="Arial"/>
                <w:sz w:val="18"/>
              </w:rPr>
              <w:t>120 x 6</w:t>
            </w:r>
          </w:p>
        </w:tc>
        <w:tc>
          <w:tcPr>
            <w:tcW w:type="dxa" w:w="3173"/>
            <w:vAlign w:val="top"/>
          </w:tcPr>
          <w:p>
            <w:r>
              <w:rPr>
                <w:rFonts w:ascii="Arial" w:hAnsi="Arial"/>
                <w:sz w:val="18"/>
              </w:rPr>
              <w:t>720 h</w:t>
            </w:r>
          </w:p>
        </w:tc>
      </w:tr>
      <w:tr>
        <w:tc>
          <w:tcPr>
            <w:tcW w:type="dxa" w:w="3173"/>
            <w:vAlign w:val="top"/>
          </w:tcPr>
          <w:p>
            <w:r>
              <w:rPr>
                <w:rFonts w:ascii="Arial" w:hAnsi="Arial"/>
                <w:sz w:val="18"/>
              </w:rPr>
              <w:t>Valor de referencia por hora</w:t>
            </w:r>
          </w:p>
        </w:tc>
        <w:tc>
          <w:tcPr>
            <w:tcW w:type="dxa" w:w="3173"/>
            <w:vAlign w:val="top"/>
          </w:tcPr>
          <w:p>
            <w:r>
              <w:rPr>
                <w:rFonts w:ascii="Arial" w:hAnsi="Arial"/>
                <w:sz w:val="18"/>
              </w:rPr>
              <w:t>-</w:t>
            </w:r>
          </w:p>
        </w:tc>
        <w:tc>
          <w:tcPr>
            <w:tcW w:type="dxa" w:w="3173"/>
            <w:vAlign w:val="top"/>
          </w:tcPr>
          <w:p>
            <w:r>
              <w:rPr>
                <w:rFonts w:ascii="Arial" w:hAnsi="Arial"/>
                <w:sz w:val="18"/>
              </w:rPr>
              <w:t>350 UYU</w:t>
            </w:r>
          </w:p>
        </w:tc>
      </w:tr>
      <w:tr>
        <w:tc>
          <w:tcPr>
            <w:tcW w:type="dxa" w:w="3173"/>
            <w:vAlign w:val="top"/>
          </w:tcPr>
          <w:p>
            <w:r>
              <w:rPr>
                <w:rFonts w:ascii="Arial" w:hAnsi="Arial"/>
                <w:sz w:val="18"/>
              </w:rPr>
              <w:t>Costo equivalente de desarrollo</w:t>
            </w:r>
          </w:p>
        </w:tc>
        <w:tc>
          <w:tcPr>
            <w:tcW w:type="dxa" w:w="3173"/>
            <w:vAlign w:val="top"/>
          </w:tcPr>
          <w:p>
            <w:r>
              <w:rPr>
                <w:rFonts w:ascii="Arial" w:hAnsi="Arial"/>
                <w:sz w:val="18"/>
              </w:rPr>
              <w:t>720 x 350</w:t>
            </w:r>
          </w:p>
        </w:tc>
        <w:tc>
          <w:tcPr>
            <w:tcW w:type="dxa" w:w="3173"/>
            <w:vAlign w:val="top"/>
          </w:tcPr>
          <w:p>
            <w:r>
              <w:rPr>
                <w:rFonts w:ascii="Arial" w:hAnsi="Arial"/>
                <w:sz w:val="18"/>
              </w:rPr>
              <w:t>252.000 UYU</w:t>
            </w:r>
          </w:p>
        </w:tc>
      </w:tr>
    </w:tbl>
    <w:p/>
    <w:p>
      <w:pPr>
        <w:spacing w:after="120" w:line="259" w:lineRule="auto"/>
      </w:pPr>
      <w:r>
        <w:t>El costo equivalente del desarrollo asciende a 252.000 UYU. Este importe permite asignar un valor económico al trabajo requerido para desarrollar ASCEND, pero no representa actualmente un desembolso del equipo debido a que el proyecto se realiza con fines académicos.</w:t>
      </w:r>
    </w:p>
    <w:p>
      <w:pPr>
        <w:pStyle w:val="Heading2"/>
        <w:spacing w:before="160" w:after="100"/>
      </w:pPr>
      <w:r>
        <w:t>6.2 Costos de infraestructura</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EAF7"/>
          </w:tcPr>
          <w:p>
            <w:r>
              <w:rPr>
                <w:rFonts w:ascii="Arial" w:hAnsi="Arial"/>
                <w:b/>
                <w:sz w:val="18"/>
              </w:rPr>
              <w:t>Recurso</w:t>
            </w:r>
          </w:p>
        </w:tc>
        <w:tc>
          <w:tcPr>
            <w:tcW w:type="dxa" w:w="4759"/>
            <w:vAlign w:val="center"/>
            <w:shd w:fill="D9EAF7"/>
          </w:tcPr>
          <w:p>
            <w:r>
              <w:rPr>
                <w:rFonts w:ascii="Arial" w:hAnsi="Arial"/>
                <w:b/>
                <w:sz w:val="18"/>
              </w:rPr>
              <w:t>Costo estimado anual</w:t>
            </w:r>
          </w:p>
        </w:tc>
      </w:tr>
      <w:tr>
        <w:tc>
          <w:tcPr>
            <w:tcW w:type="dxa" w:w="4759"/>
            <w:vAlign w:val="top"/>
          </w:tcPr>
          <w:p>
            <w:r>
              <w:rPr>
                <w:rFonts w:ascii="Arial" w:hAnsi="Arial"/>
                <w:sz w:val="18"/>
              </w:rPr>
              <w:t>Hosting/VPS básico</w:t>
            </w:r>
          </w:p>
        </w:tc>
        <w:tc>
          <w:tcPr>
            <w:tcW w:type="dxa" w:w="4759"/>
            <w:vAlign w:val="top"/>
          </w:tcPr>
          <w:p>
            <w:r>
              <w:rPr>
                <w:rFonts w:ascii="Arial" w:hAnsi="Arial"/>
                <w:sz w:val="18"/>
              </w:rPr>
              <w:t>9.600 UYU</w:t>
            </w:r>
          </w:p>
        </w:tc>
      </w:tr>
      <w:tr>
        <w:tc>
          <w:tcPr>
            <w:tcW w:type="dxa" w:w="4759"/>
            <w:vAlign w:val="top"/>
          </w:tcPr>
          <w:p>
            <w:r>
              <w:rPr>
                <w:rFonts w:ascii="Arial" w:hAnsi="Arial"/>
                <w:sz w:val="18"/>
              </w:rPr>
              <w:t>Dominio</w:t>
            </w:r>
          </w:p>
        </w:tc>
        <w:tc>
          <w:tcPr>
            <w:tcW w:type="dxa" w:w="4759"/>
            <w:vAlign w:val="top"/>
          </w:tcPr>
          <w:p>
            <w:r>
              <w:rPr>
                <w:rFonts w:ascii="Arial" w:hAnsi="Arial"/>
                <w:sz w:val="18"/>
              </w:rPr>
              <w:t>480 UYU</w:t>
            </w:r>
          </w:p>
        </w:tc>
      </w:tr>
      <w:tr>
        <w:tc>
          <w:tcPr>
            <w:tcW w:type="dxa" w:w="4759"/>
            <w:vAlign w:val="top"/>
          </w:tcPr>
          <w:p>
            <w:r>
              <w:rPr>
                <w:rFonts w:ascii="Arial" w:hAnsi="Arial"/>
                <w:sz w:val="18"/>
              </w:rPr>
              <w:t>Certificado SSL</w:t>
            </w:r>
          </w:p>
        </w:tc>
        <w:tc>
          <w:tcPr>
            <w:tcW w:type="dxa" w:w="4759"/>
            <w:vAlign w:val="top"/>
          </w:tcPr>
          <w:p>
            <w:r>
              <w:rPr>
                <w:rFonts w:ascii="Arial" w:hAnsi="Arial"/>
                <w:sz w:val="18"/>
              </w:rPr>
              <w:t>0 UYU</w:t>
            </w:r>
          </w:p>
        </w:tc>
      </w:tr>
      <w:tr>
        <w:tc>
          <w:tcPr>
            <w:tcW w:type="dxa" w:w="4759"/>
            <w:vAlign w:val="top"/>
          </w:tcPr>
          <w:p>
            <w:r>
              <w:rPr>
                <w:rFonts w:ascii="Arial" w:hAnsi="Arial"/>
                <w:sz w:val="18"/>
              </w:rPr>
              <w:t>Servidor local de pruebas</w:t>
            </w:r>
          </w:p>
        </w:tc>
        <w:tc>
          <w:tcPr>
            <w:tcW w:type="dxa" w:w="4759"/>
            <w:vAlign w:val="top"/>
          </w:tcPr>
          <w:p>
            <w:r>
              <w:rPr>
                <w:rFonts w:ascii="Arial" w:hAnsi="Arial"/>
                <w:sz w:val="18"/>
              </w:rPr>
              <w:t>0 UYU</w:t>
            </w:r>
          </w:p>
        </w:tc>
      </w:tr>
      <w:tr>
        <w:tc>
          <w:tcPr>
            <w:tcW w:type="dxa" w:w="4759"/>
            <w:vAlign w:val="top"/>
          </w:tcPr>
          <w:p>
            <w:r>
              <w:rPr>
                <w:rFonts w:ascii="Arial" w:hAnsi="Arial"/>
                <w:sz w:val="18"/>
              </w:rPr>
              <w:t>Total</w:t>
            </w:r>
          </w:p>
        </w:tc>
        <w:tc>
          <w:tcPr>
            <w:tcW w:type="dxa" w:w="4759"/>
            <w:vAlign w:val="top"/>
          </w:tcPr>
          <w:p>
            <w:r>
              <w:rPr>
                <w:rFonts w:ascii="Arial" w:hAnsi="Arial"/>
                <w:sz w:val="18"/>
              </w:rPr>
              <w:t>10.080 UYU</w:t>
            </w:r>
          </w:p>
        </w:tc>
      </w:tr>
    </w:tbl>
    <w:p/>
    <w:p>
      <w:pPr>
        <w:spacing w:after="120" w:line="259" w:lineRule="auto"/>
      </w:pPr>
      <w:r>
        <w:t>El servidor local no representa un costo adicional porque durante el desarrollo se utilizarán los equipos disponibles.</w:t>
      </w:r>
    </w:p>
    <w:p>
      <w:pPr>
        <w:pStyle w:val="Heading2"/>
        <w:spacing w:before="160" w:after="100"/>
      </w:pPr>
      <w:r>
        <w:t>6.3 Costos operativos (OPEX)</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EAF7"/>
          </w:tcPr>
          <w:p>
            <w:r>
              <w:rPr>
                <w:rFonts w:ascii="Arial" w:hAnsi="Arial"/>
                <w:b/>
                <w:sz w:val="18"/>
              </w:rPr>
              <w:t>Concepto</w:t>
            </w:r>
          </w:p>
        </w:tc>
        <w:tc>
          <w:tcPr>
            <w:tcW w:type="dxa" w:w="4759"/>
            <w:vAlign w:val="center"/>
            <w:shd w:fill="D9EAF7"/>
          </w:tcPr>
          <w:p>
            <w:r>
              <w:rPr>
                <w:rFonts w:ascii="Arial" w:hAnsi="Arial"/>
                <w:b/>
                <w:sz w:val="18"/>
              </w:rPr>
              <w:t>Costo estimado anual</w:t>
            </w:r>
          </w:p>
        </w:tc>
      </w:tr>
      <w:tr>
        <w:tc>
          <w:tcPr>
            <w:tcW w:type="dxa" w:w="4759"/>
            <w:vAlign w:val="top"/>
          </w:tcPr>
          <w:p>
            <w:r>
              <w:rPr>
                <w:rFonts w:ascii="Arial" w:hAnsi="Arial"/>
                <w:sz w:val="18"/>
              </w:rPr>
              <w:t>Mantenimiento y actualizaciones</w:t>
            </w:r>
          </w:p>
        </w:tc>
        <w:tc>
          <w:tcPr>
            <w:tcW w:type="dxa" w:w="4759"/>
            <w:vAlign w:val="top"/>
          </w:tcPr>
          <w:p>
            <w:r>
              <w:rPr>
                <w:rFonts w:ascii="Arial" w:hAnsi="Arial"/>
                <w:sz w:val="18"/>
              </w:rPr>
              <w:t>8.000 UYU</w:t>
            </w:r>
          </w:p>
        </w:tc>
      </w:tr>
      <w:tr>
        <w:tc>
          <w:tcPr>
            <w:tcW w:type="dxa" w:w="4759"/>
            <w:vAlign w:val="top"/>
          </w:tcPr>
          <w:p>
            <w:r>
              <w:rPr>
                <w:rFonts w:ascii="Arial" w:hAnsi="Arial"/>
                <w:sz w:val="18"/>
              </w:rPr>
              <w:t>Consumo eléctrico y desgaste de equipos</w:t>
            </w:r>
          </w:p>
        </w:tc>
        <w:tc>
          <w:tcPr>
            <w:tcW w:type="dxa" w:w="4759"/>
            <w:vAlign w:val="top"/>
          </w:tcPr>
          <w:p>
            <w:r>
              <w:rPr>
                <w:rFonts w:ascii="Arial" w:hAnsi="Arial"/>
                <w:sz w:val="18"/>
              </w:rPr>
              <w:t>3.000 UYU</w:t>
            </w:r>
          </w:p>
        </w:tc>
      </w:tr>
      <w:tr>
        <w:tc>
          <w:tcPr>
            <w:tcW w:type="dxa" w:w="4759"/>
            <w:vAlign w:val="top"/>
          </w:tcPr>
          <w:p>
            <w:r>
              <w:rPr>
                <w:rFonts w:ascii="Arial" w:hAnsi="Arial"/>
                <w:sz w:val="18"/>
              </w:rPr>
              <w:t>Total OPEX</w:t>
            </w:r>
          </w:p>
        </w:tc>
        <w:tc>
          <w:tcPr>
            <w:tcW w:type="dxa" w:w="4759"/>
            <w:vAlign w:val="top"/>
          </w:tcPr>
          <w:p>
            <w:r>
              <w:rPr>
                <w:rFonts w:ascii="Arial" w:hAnsi="Arial"/>
                <w:sz w:val="18"/>
              </w:rPr>
              <w:t>11.000 UYU</w:t>
            </w:r>
          </w:p>
        </w:tc>
      </w:tr>
    </w:tbl>
    <w:p/>
    <w:p>
      <w:pPr>
        <w:pStyle w:val="Heading2"/>
        <w:spacing w:before="160" w:after="100"/>
      </w:pPr>
      <w:r>
        <w:t>6.4 Costo total estimado del primer año</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EAF7"/>
          </w:tcPr>
          <w:p>
            <w:r>
              <w:rPr>
                <w:rFonts w:ascii="Arial" w:hAnsi="Arial"/>
                <w:b/>
                <w:sz w:val="18"/>
              </w:rPr>
              <w:t>Concepto</w:t>
            </w:r>
          </w:p>
        </w:tc>
        <w:tc>
          <w:tcPr>
            <w:tcW w:type="dxa" w:w="4759"/>
            <w:vAlign w:val="center"/>
            <w:shd w:fill="D9EAF7"/>
          </w:tcPr>
          <w:p>
            <w:r>
              <w:rPr>
                <w:rFonts w:ascii="Arial" w:hAnsi="Arial"/>
                <w:b/>
                <w:sz w:val="18"/>
              </w:rPr>
              <w:t>Costo estimado</w:t>
            </w:r>
          </w:p>
        </w:tc>
      </w:tr>
      <w:tr>
        <w:tc>
          <w:tcPr>
            <w:tcW w:type="dxa" w:w="4759"/>
            <w:vAlign w:val="top"/>
          </w:tcPr>
          <w:p>
            <w:r>
              <w:rPr>
                <w:rFonts w:ascii="Arial" w:hAnsi="Arial"/>
                <w:sz w:val="18"/>
              </w:rPr>
              <w:t>Desarrollo (CAPEX)</w:t>
            </w:r>
          </w:p>
        </w:tc>
        <w:tc>
          <w:tcPr>
            <w:tcW w:type="dxa" w:w="4759"/>
            <w:vAlign w:val="top"/>
          </w:tcPr>
          <w:p>
            <w:r>
              <w:rPr>
                <w:rFonts w:ascii="Arial" w:hAnsi="Arial"/>
                <w:sz w:val="18"/>
              </w:rPr>
              <w:t>252.000 UYU</w:t>
            </w:r>
          </w:p>
        </w:tc>
      </w:tr>
      <w:tr>
        <w:tc>
          <w:tcPr>
            <w:tcW w:type="dxa" w:w="4759"/>
            <w:vAlign w:val="top"/>
          </w:tcPr>
          <w:p>
            <w:r>
              <w:rPr>
                <w:rFonts w:ascii="Arial" w:hAnsi="Arial"/>
                <w:sz w:val="18"/>
              </w:rPr>
              <w:t>Infraestructura</w:t>
            </w:r>
          </w:p>
        </w:tc>
        <w:tc>
          <w:tcPr>
            <w:tcW w:type="dxa" w:w="4759"/>
            <w:vAlign w:val="top"/>
          </w:tcPr>
          <w:p>
            <w:r>
              <w:rPr>
                <w:rFonts w:ascii="Arial" w:hAnsi="Arial"/>
                <w:sz w:val="18"/>
              </w:rPr>
              <w:t>10.080 UYU</w:t>
            </w:r>
          </w:p>
        </w:tc>
      </w:tr>
      <w:tr>
        <w:tc>
          <w:tcPr>
            <w:tcW w:type="dxa" w:w="4759"/>
            <w:vAlign w:val="top"/>
          </w:tcPr>
          <w:p>
            <w:r>
              <w:rPr>
                <w:rFonts w:ascii="Arial" w:hAnsi="Arial"/>
                <w:sz w:val="18"/>
              </w:rPr>
              <w:t>Operación (OPEX)</w:t>
            </w:r>
          </w:p>
        </w:tc>
        <w:tc>
          <w:tcPr>
            <w:tcW w:type="dxa" w:w="4759"/>
            <w:vAlign w:val="top"/>
          </w:tcPr>
          <w:p>
            <w:r>
              <w:rPr>
                <w:rFonts w:ascii="Arial" w:hAnsi="Arial"/>
                <w:sz w:val="18"/>
              </w:rPr>
              <w:t>11.000 UYU</w:t>
            </w:r>
          </w:p>
        </w:tc>
      </w:tr>
      <w:tr>
        <w:tc>
          <w:tcPr>
            <w:tcW w:type="dxa" w:w="4759"/>
            <w:vAlign w:val="top"/>
          </w:tcPr>
          <w:p>
            <w:r>
              <w:rPr>
                <w:rFonts w:ascii="Arial" w:hAnsi="Arial"/>
                <w:sz w:val="18"/>
              </w:rPr>
              <w:t>Costo total estimado</w:t>
            </w:r>
          </w:p>
        </w:tc>
        <w:tc>
          <w:tcPr>
            <w:tcW w:type="dxa" w:w="4759"/>
            <w:vAlign w:val="top"/>
          </w:tcPr>
          <w:p>
            <w:r>
              <w:rPr>
                <w:rFonts w:ascii="Arial" w:hAnsi="Arial"/>
                <w:sz w:val="18"/>
              </w:rPr>
              <w:t>273.080 UYU</w:t>
            </w:r>
          </w:p>
        </w:tc>
      </w:tr>
    </w:tbl>
    <w:p/>
    <w:p>
      <w:pPr>
        <w:spacing w:after="120" w:line="259" w:lineRule="auto"/>
      </w:pPr>
      <w:r>
        <w:t>El costo económico total estimado para el primer año asciende a 273.080 UYU.</w:t>
      </w:r>
    </w:p>
    <w:p>
      <w:pPr>
        <w:spacing w:after="120" w:line="259" w:lineRule="auto"/>
      </w:pPr>
      <w:r>
        <w:t>Sin embargo, 252.000 UYU corresponden al valor equivalente del trabajo del equipo. Considerando únicamente los gastos previstos de infraestructura y operación, una futura implementación requeriría aproximadamente 21.080 UYU durante el primer año.</w:t>
      </w:r>
    </w:p>
    <w:p>
      <w:pPr>
        <w:pStyle w:val="Heading2"/>
        <w:spacing w:before="160" w:after="100"/>
      </w:pPr>
      <w:r>
        <w:t>6.5 Presupuesto disponible</w:t>
      </w:r>
    </w:p>
    <w:p>
      <w:pPr>
        <w:spacing w:after="120" w:line="259" w:lineRule="auto"/>
      </w:pPr>
      <w:r>
        <w:t>Actualmente ASCEND no dispone de un presupuesto monetario específico destinado a una explotación comercial.</w:t>
      </w:r>
    </w:p>
    <w:p>
      <w:pPr>
        <w:spacing w:after="120" w:line="259" w:lineRule="auto"/>
      </w:pPr>
      <w:r>
        <w:t>Durante la etapa académica, los principales recursos necesarios ya se encuentran disponibles, incluyendo computadoras personales, herramientas de desarrollo y software.</w:t>
      </w:r>
    </w:p>
    <w:p>
      <w:pPr>
        <w:spacing w:after="120" w:line="259" w:lineRule="auto"/>
      </w:pPr>
      <w:r>
        <w:t>Por lo tanto, el desarrollo puede continuar sin realizar el desembolso equivalente de 252.000 UYU. Para una futura puesta en producción será necesario definir un presupuesto que cubra principalmente los costos de infraestructura y operación estimados en 21.080 UYU durante el primer año.</w:t>
      </w:r>
    </w:p>
    <w:p>
      <w:pPr>
        <w:pStyle w:val="Heading2"/>
        <w:spacing w:before="160" w:after="100"/>
      </w:pPr>
      <w:r>
        <w:t>6.6 Modelo comercial</w:t>
      </w:r>
    </w:p>
    <w:p>
      <w:pPr>
        <w:spacing w:after="120" w:line="259" w:lineRule="auto"/>
      </w:pPr>
      <w:r>
        <w:t>Para una futura explotación comercial se plantea un modelo B2B/B2B2C. Las organizaciones deportivas serían los principales clientes de ASCEND, mientras que Jugadores y Equipos utilizarían la plataforma como usuarios finales.</w:t>
      </w:r>
    </w:p>
    <w:p>
      <w:pPr>
        <w:spacing w:after="120" w:line="259" w:lineRule="auto"/>
      </w:pPr>
      <w:r>
        <w:t>El esquema general sería: Organización -&gt; contrata ASCEND -&gt; administra sus competencias -&gt; Jugadores y Equipos utilizan la plataforma.</w:t>
      </w:r>
    </w:p>
    <w:p>
      <w:pPr>
        <w:spacing w:after="120" w:line="259" w:lineRule="auto"/>
      </w:pPr>
      <w:r>
        <w:t>La contratación no requeriría actualmente una pasarela de pagos dentro de ASCEND, sino que podría realizarse mediante una gestión comercial externa entre la organización y los responsables de la plataforma.</w:t>
      </w:r>
    </w:p>
    <w:p>
      <w:pPr>
        <w:pStyle w:val="Heading2"/>
        <w:spacing w:before="160" w:after="100"/>
      </w:pPr>
      <w:r>
        <w:t>6.7 Modelo Freemium</w:t>
      </w:r>
    </w:p>
    <w:p>
      <w:pPr>
        <w:spacing w:after="120" w:line="259" w:lineRule="auto"/>
      </w:pPr>
      <w:r>
        <w:t>Como posible estrategia comercial futura se propone un modelo Freemium compuesto por tres niveles.</w:t>
      </w:r>
    </w:p>
    <w:p>
      <w:pPr>
        <w:spacing w:after="120" w:line="259" w:lineRule="auto"/>
      </w:pPr>
      <w:r>
        <w:t>Plan Free: estaría destinado a organizaciones pequeñas o interesadas en probar ASCEND antes de contratar un servicio. Podría ofrecer acceso a funcionalidades básicas y una cantidad limitada de torneos.</w:t>
      </w:r>
    </w:p>
    <w:p>
      <w:pPr>
        <w:spacing w:after="120" w:line="259" w:lineRule="auto"/>
      </w:pPr>
      <w:r>
        <w:t>Plan Pro: estaría dirigido a clubes, academias y organizaciones que administren competencias de manera frecuente. Podría proporcionar mayores capacidades de gestión, estadísticas, reportes, historial de competencias y opciones de personalización.</w:t>
      </w:r>
    </w:p>
    <w:p>
      <w:pPr>
        <w:spacing w:after="120" w:line="259" w:lineRule="auto"/>
      </w:pPr>
      <w:r>
        <w:t>Plan Business: estaría orientado a ligas, instituciones y organizaciones con mayor cantidad de competencias y participantes. Podría incorporar capacidades superiores de administración, almacenamiento, estadísticas, personalización, reportes, soporte e integración con servicios externos.</w:t>
      </w:r>
    </w:p>
    <w:p>
      <w:pPr>
        <w:spacing w:after="120" w:line="259" w:lineRule="auto"/>
      </w:pPr>
      <w:r>
        <w:t>Estos planes representan una propuesta comercial futura. Las diferencias funcionales entre Free, Pro y Business no forman parte actualmente de los requerimientos funcionales de ASCEND.</w:t>
      </w:r>
    </w:p>
    <w:p>
      <w:pPr>
        <w:pStyle w:val="Heading2"/>
        <w:spacing w:before="160" w:after="100"/>
      </w:pPr>
      <w:r>
        <w:t>6.8 Otras alternativas de monetización</w:t>
      </w:r>
    </w:p>
    <w:p>
      <w:pPr>
        <w:pStyle w:val="ListBullet"/>
        <w:spacing w:after="40"/>
      </w:pPr>
      <w:r>
        <w:t>Pago por torneo.</w:t>
      </w:r>
    </w:p>
    <w:p>
      <w:pPr>
        <w:pStyle w:val="ListBullet"/>
        <w:spacing w:after="40"/>
      </w:pPr>
      <w:r>
        <w:t>Estadísticas avanzadas.</w:t>
      </w:r>
    </w:p>
    <w:p>
      <w:pPr>
        <w:pStyle w:val="ListBullet"/>
        <w:spacing w:after="40"/>
      </w:pPr>
      <w:r>
        <w:t>Reportes personalizados.</w:t>
      </w:r>
    </w:p>
    <w:p>
      <w:pPr>
        <w:pStyle w:val="ListBullet"/>
        <w:spacing w:after="40"/>
      </w:pPr>
      <w:r>
        <w:t>Personalización para organizaciones.</w:t>
      </w:r>
    </w:p>
    <w:p>
      <w:pPr>
        <w:pStyle w:val="ListBullet"/>
        <w:spacing w:after="40"/>
      </w:pPr>
      <w:r>
        <w:t>Integración con servicios externos.</w:t>
      </w:r>
    </w:p>
    <w:p>
      <w:pPr>
        <w:pStyle w:val="ListBullet"/>
        <w:spacing w:after="40"/>
      </w:pPr>
      <w:r>
        <w:t>Desarrollo de funcionalidades específicas.</w:t>
      </w:r>
    </w:p>
    <w:p>
      <w:pPr>
        <w:pStyle w:val="ListBullet"/>
        <w:spacing w:after="40"/>
      </w:pPr>
      <w:r>
        <w:t>Servicios de soporte y mantenimiento.</w:t>
      </w:r>
    </w:p>
    <w:p>
      <w:pPr>
        <w:spacing w:after="120" w:line="259" w:lineRule="auto"/>
      </w:pPr>
      <w:r>
        <w:t>Estas alternativas no forman parte del alcance funcional actual.</w:t>
      </w:r>
    </w:p>
    <w:p>
      <w:pPr>
        <w:pStyle w:val="Heading2"/>
        <w:spacing w:before="160" w:after="100"/>
      </w:pPr>
      <w:r>
        <w:t>6.9 Beneficios</w:t>
      </w:r>
    </w:p>
    <w:p>
      <w:pPr>
        <w:pStyle w:val="ListBullet"/>
        <w:spacing w:after="40"/>
      </w:pPr>
      <w:r>
        <w:t>Centralización de la información.</w:t>
      </w:r>
    </w:p>
    <w:p>
      <w:pPr>
        <w:pStyle w:val="ListBullet"/>
        <w:spacing w:after="40"/>
      </w:pPr>
      <w:r>
        <w:t>Reducción de tareas manuales.</w:t>
      </w:r>
    </w:p>
    <w:p>
      <w:pPr>
        <w:pStyle w:val="ListBullet"/>
        <w:spacing w:after="40"/>
      </w:pPr>
      <w:r>
        <w:t>Administración conjunta de torneos y participantes.</w:t>
      </w:r>
    </w:p>
    <w:p>
      <w:pPr>
        <w:pStyle w:val="ListBullet"/>
        <w:spacing w:after="40"/>
      </w:pPr>
      <w:r>
        <w:t>Automatización de resultados, clasificaciones y rankings.</w:t>
      </w:r>
    </w:p>
    <w:p>
      <w:pPr>
        <w:pStyle w:val="ListBullet"/>
        <w:spacing w:after="40"/>
      </w:pPr>
      <w:r>
        <w:t>Mayor disponibilidad de la información.</w:t>
      </w:r>
    </w:p>
    <w:p>
      <w:pPr>
        <w:pStyle w:val="ListBullet"/>
        <w:spacing w:after="40"/>
      </w:pPr>
      <w:r>
        <w:t>Trazabilidad de las operaciones.</w:t>
      </w:r>
    </w:p>
    <w:p>
      <w:pPr>
        <w:pStyle w:val="ListBullet"/>
        <w:spacing w:after="40"/>
      </w:pPr>
      <w:r>
        <w:t>Gestión de diferentes disciplinas mediante una misma plataforma.</w:t>
      </w:r>
    </w:p>
    <w:p>
      <w:pPr>
        <w:pStyle w:val="ListBullet"/>
        <w:spacing w:after="40"/>
      </w:pPr>
      <w:r>
        <w:t>Mejora de la experiencia de Organizadores, Jugadores y usuarios que consulten las competencias.</w:t>
      </w:r>
    </w:p>
    <w:p>
      <w:pPr>
        <w:spacing w:after="120" w:line="259" w:lineRule="auto"/>
      </w:pPr>
      <w:r>
        <w:t>Además de estos beneficios cualitativos, el modelo comercial permite realizar una proyección cuantificable de posibles ingresos.</w:t>
      </w:r>
    </w:p>
    <w:p>
      <w:pPr>
        <w:pStyle w:val="Heading2"/>
        <w:spacing w:before="160" w:after="100"/>
      </w:pPr>
      <w:r>
        <w:t>6.10 Proyección de ingresos</w:t>
      </w:r>
    </w:p>
    <w:p>
      <w:pPr>
        <w:spacing w:after="120" w:line="259" w:lineRule="auto"/>
      </w:pPr>
      <w:r>
        <w:t>Para el análisis académico se plantea un escenario inicial de 10 organizaciones contratando el Plan Pro, con un precio de referencia de 500 UYU mensuales por organización.</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D9EAF7"/>
          </w:tcPr>
          <w:p>
            <w:r>
              <w:rPr>
                <w:rFonts w:ascii="Arial" w:hAnsi="Arial"/>
                <w:b/>
                <w:sz w:val="18"/>
              </w:rPr>
              <w:t>Concepto</w:t>
            </w:r>
          </w:p>
        </w:tc>
        <w:tc>
          <w:tcPr>
            <w:tcW w:type="dxa" w:w="3173"/>
            <w:vAlign w:val="center"/>
            <w:shd w:fill="D9EAF7"/>
          </w:tcPr>
          <w:p>
            <w:r>
              <w:rPr>
                <w:rFonts w:ascii="Arial" w:hAnsi="Arial"/>
                <w:b/>
                <w:sz w:val="18"/>
              </w:rPr>
              <w:t>Cálculo</w:t>
            </w:r>
          </w:p>
        </w:tc>
        <w:tc>
          <w:tcPr>
            <w:tcW w:type="dxa" w:w="3173"/>
            <w:vAlign w:val="center"/>
            <w:shd w:fill="D9EAF7"/>
          </w:tcPr>
          <w:p>
            <w:r>
              <w:rPr>
                <w:rFonts w:ascii="Arial" w:hAnsi="Arial"/>
                <w:b/>
                <w:sz w:val="18"/>
              </w:rPr>
              <w:t>Resultado</w:t>
            </w:r>
          </w:p>
        </w:tc>
      </w:tr>
      <w:tr>
        <w:tc>
          <w:tcPr>
            <w:tcW w:type="dxa" w:w="3173"/>
            <w:vAlign w:val="top"/>
          </w:tcPr>
          <w:p>
            <w:r>
              <w:rPr>
                <w:rFonts w:ascii="Arial" w:hAnsi="Arial"/>
                <w:sz w:val="18"/>
              </w:rPr>
              <w:t>Organizaciones suscriptas</w:t>
            </w:r>
          </w:p>
        </w:tc>
        <w:tc>
          <w:tcPr>
            <w:tcW w:type="dxa" w:w="3173"/>
            <w:vAlign w:val="top"/>
          </w:tcPr>
          <w:p>
            <w:r>
              <w:rPr>
                <w:rFonts w:ascii="Arial" w:hAnsi="Arial"/>
                <w:sz w:val="18"/>
              </w:rPr>
              <w:t>-</w:t>
            </w:r>
          </w:p>
        </w:tc>
        <w:tc>
          <w:tcPr>
            <w:tcW w:type="dxa" w:w="3173"/>
            <w:vAlign w:val="top"/>
          </w:tcPr>
          <w:p>
            <w:r>
              <w:rPr>
                <w:rFonts w:ascii="Arial" w:hAnsi="Arial"/>
                <w:sz w:val="18"/>
              </w:rPr>
              <w:t>10</w:t>
            </w:r>
          </w:p>
        </w:tc>
      </w:tr>
      <w:tr>
        <w:tc>
          <w:tcPr>
            <w:tcW w:type="dxa" w:w="3173"/>
            <w:vAlign w:val="top"/>
          </w:tcPr>
          <w:p>
            <w:r>
              <w:rPr>
                <w:rFonts w:ascii="Arial" w:hAnsi="Arial"/>
                <w:sz w:val="18"/>
              </w:rPr>
              <w:t>Suscripción mensual</w:t>
            </w:r>
          </w:p>
        </w:tc>
        <w:tc>
          <w:tcPr>
            <w:tcW w:type="dxa" w:w="3173"/>
            <w:vAlign w:val="top"/>
          </w:tcPr>
          <w:p>
            <w:r>
              <w:rPr>
                <w:rFonts w:ascii="Arial" w:hAnsi="Arial"/>
                <w:sz w:val="18"/>
              </w:rPr>
              <w:t>-</w:t>
            </w:r>
          </w:p>
        </w:tc>
        <w:tc>
          <w:tcPr>
            <w:tcW w:type="dxa" w:w="3173"/>
            <w:vAlign w:val="top"/>
          </w:tcPr>
          <w:p>
            <w:r>
              <w:rPr>
                <w:rFonts w:ascii="Arial" w:hAnsi="Arial"/>
                <w:sz w:val="18"/>
              </w:rPr>
              <w:t>500 UYU</w:t>
            </w:r>
          </w:p>
        </w:tc>
      </w:tr>
      <w:tr>
        <w:tc>
          <w:tcPr>
            <w:tcW w:type="dxa" w:w="3173"/>
            <w:vAlign w:val="top"/>
          </w:tcPr>
          <w:p>
            <w:r>
              <w:rPr>
                <w:rFonts w:ascii="Arial" w:hAnsi="Arial"/>
                <w:sz w:val="18"/>
              </w:rPr>
              <w:t>Ingreso mensual</w:t>
            </w:r>
          </w:p>
        </w:tc>
        <w:tc>
          <w:tcPr>
            <w:tcW w:type="dxa" w:w="3173"/>
            <w:vAlign w:val="top"/>
          </w:tcPr>
          <w:p>
            <w:r>
              <w:rPr>
                <w:rFonts w:ascii="Arial" w:hAnsi="Arial"/>
                <w:sz w:val="18"/>
              </w:rPr>
              <w:t>10 x 500</w:t>
            </w:r>
          </w:p>
        </w:tc>
        <w:tc>
          <w:tcPr>
            <w:tcW w:type="dxa" w:w="3173"/>
            <w:vAlign w:val="top"/>
          </w:tcPr>
          <w:p>
            <w:r>
              <w:rPr>
                <w:rFonts w:ascii="Arial" w:hAnsi="Arial"/>
                <w:sz w:val="18"/>
              </w:rPr>
              <w:t>5.000 UYU</w:t>
            </w:r>
          </w:p>
        </w:tc>
      </w:tr>
      <w:tr>
        <w:tc>
          <w:tcPr>
            <w:tcW w:type="dxa" w:w="3173"/>
            <w:vAlign w:val="top"/>
          </w:tcPr>
          <w:p>
            <w:r>
              <w:rPr>
                <w:rFonts w:ascii="Arial" w:hAnsi="Arial"/>
                <w:sz w:val="18"/>
              </w:rPr>
              <w:t>Ingreso anual</w:t>
            </w:r>
          </w:p>
        </w:tc>
        <w:tc>
          <w:tcPr>
            <w:tcW w:type="dxa" w:w="3173"/>
            <w:vAlign w:val="top"/>
          </w:tcPr>
          <w:p>
            <w:r>
              <w:rPr>
                <w:rFonts w:ascii="Arial" w:hAnsi="Arial"/>
                <w:sz w:val="18"/>
              </w:rPr>
              <w:t>5.000 x 12</w:t>
            </w:r>
          </w:p>
        </w:tc>
        <w:tc>
          <w:tcPr>
            <w:tcW w:type="dxa" w:w="3173"/>
            <w:vAlign w:val="top"/>
          </w:tcPr>
          <w:p>
            <w:r>
              <w:rPr>
                <w:rFonts w:ascii="Arial" w:hAnsi="Arial"/>
                <w:sz w:val="18"/>
              </w:rPr>
              <w:t>60.000 UYU</w:t>
            </w:r>
          </w:p>
        </w:tc>
      </w:tr>
    </w:tbl>
    <w:p/>
    <w:p>
      <w:pPr>
        <w:spacing w:after="120" w:line="259" w:lineRule="auto"/>
      </w:pPr>
      <w:r>
        <w:t>Por lo tanto, el escenario planteado produciría un ingreso bruto proyectado de 60.000 UYU anuales.</w:t>
      </w:r>
    </w:p>
    <w:p>
      <w:pPr>
        <w:spacing w:after="120" w:line="259" w:lineRule="auto"/>
      </w:pPr>
      <w:r>
        <w:t>Se trata exclusivamente de una estimación académica. ASCEND no dispone actualmente de diez organizaciones contratantes ni genera esos ingresos. El precio de 500 UYU también es un valor de referencia que debería validarse mediante un estudio de mercado antes de una explotación comercial.</w:t>
      </w:r>
    </w:p>
    <w:p>
      <w:pPr>
        <w:pStyle w:val="Heading2"/>
        <w:spacing w:before="160" w:after="100"/>
      </w:pPr>
      <w:r>
        <w:t>6.11 Análisis costo-beneficio</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EAF7"/>
          </w:tcPr>
          <w:p>
            <w:r>
              <w:rPr>
                <w:rFonts w:ascii="Arial" w:hAnsi="Arial"/>
                <w:b/>
                <w:sz w:val="18"/>
              </w:rPr>
              <w:t>Concepto</w:t>
            </w:r>
          </w:p>
        </w:tc>
        <w:tc>
          <w:tcPr>
            <w:tcW w:type="dxa" w:w="4759"/>
            <w:vAlign w:val="center"/>
            <w:shd w:fill="D9EAF7"/>
          </w:tcPr>
          <w:p>
            <w:r>
              <w:rPr>
                <w:rFonts w:ascii="Arial" w:hAnsi="Arial"/>
                <w:b/>
                <w:sz w:val="18"/>
              </w:rPr>
              <w:t>Importe anual</w:t>
            </w:r>
          </w:p>
        </w:tc>
      </w:tr>
      <w:tr>
        <w:tc>
          <w:tcPr>
            <w:tcW w:type="dxa" w:w="4759"/>
            <w:vAlign w:val="top"/>
          </w:tcPr>
          <w:p>
            <w:r>
              <w:rPr>
                <w:rFonts w:ascii="Arial" w:hAnsi="Arial"/>
                <w:sz w:val="18"/>
              </w:rPr>
              <w:t>Ingresos proyectados</w:t>
            </w:r>
          </w:p>
        </w:tc>
        <w:tc>
          <w:tcPr>
            <w:tcW w:type="dxa" w:w="4759"/>
            <w:vAlign w:val="top"/>
          </w:tcPr>
          <w:p>
            <w:r>
              <w:rPr>
                <w:rFonts w:ascii="Arial" w:hAnsi="Arial"/>
                <w:sz w:val="18"/>
              </w:rPr>
              <w:t>60.000 UYU</w:t>
            </w:r>
          </w:p>
        </w:tc>
      </w:tr>
      <w:tr>
        <w:tc>
          <w:tcPr>
            <w:tcW w:type="dxa" w:w="4759"/>
            <w:vAlign w:val="top"/>
          </w:tcPr>
          <w:p>
            <w:r>
              <w:rPr>
                <w:rFonts w:ascii="Arial" w:hAnsi="Arial"/>
                <w:sz w:val="18"/>
              </w:rPr>
              <w:t>Infraestructura</w:t>
            </w:r>
          </w:p>
        </w:tc>
        <w:tc>
          <w:tcPr>
            <w:tcW w:type="dxa" w:w="4759"/>
            <w:vAlign w:val="top"/>
          </w:tcPr>
          <w:p>
            <w:r>
              <w:rPr>
                <w:rFonts w:ascii="Arial" w:hAnsi="Arial"/>
                <w:sz w:val="18"/>
              </w:rPr>
              <w:t>10.080 UYU</w:t>
            </w:r>
          </w:p>
        </w:tc>
      </w:tr>
      <w:tr>
        <w:tc>
          <w:tcPr>
            <w:tcW w:type="dxa" w:w="4759"/>
            <w:vAlign w:val="top"/>
          </w:tcPr>
          <w:p>
            <w:r>
              <w:rPr>
                <w:rFonts w:ascii="Arial" w:hAnsi="Arial"/>
                <w:sz w:val="18"/>
              </w:rPr>
              <w:t>Operación</w:t>
            </w:r>
          </w:p>
        </w:tc>
        <w:tc>
          <w:tcPr>
            <w:tcW w:type="dxa" w:w="4759"/>
            <w:vAlign w:val="top"/>
          </w:tcPr>
          <w:p>
            <w:r>
              <w:rPr>
                <w:rFonts w:ascii="Arial" w:hAnsi="Arial"/>
                <w:sz w:val="18"/>
              </w:rPr>
              <w:t>11.000 UYU</w:t>
            </w:r>
          </w:p>
        </w:tc>
      </w:tr>
      <w:tr>
        <w:tc>
          <w:tcPr>
            <w:tcW w:type="dxa" w:w="4759"/>
            <w:vAlign w:val="top"/>
          </w:tcPr>
          <w:p>
            <w:r>
              <w:rPr>
                <w:rFonts w:ascii="Arial" w:hAnsi="Arial"/>
                <w:sz w:val="18"/>
              </w:rPr>
              <w:t>Costos operativos + infraestructura</w:t>
            </w:r>
          </w:p>
        </w:tc>
        <w:tc>
          <w:tcPr>
            <w:tcW w:type="dxa" w:w="4759"/>
            <w:vAlign w:val="top"/>
          </w:tcPr>
          <w:p>
            <w:r>
              <w:rPr>
                <w:rFonts w:ascii="Arial" w:hAnsi="Arial"/>
                <w:sz w:val="18"/>
              </w:rPr>
              <w:t>21.080 UYU</w:t>
            </w:r>
          </w:p>
        </w:tc>
      </w:tr>
      <w:tr>
        <w:tc>
          <w:tcPr>
            <w:tcW w:type="dxa" w:w="4759"/>
            <w:vAlign w:val="top"/>
          </w:tcPr>
          <w:p>
            <w:r>
              <w:rPr>
                <w:rFonts w:ascii="Arial" w:hAnsi="Arial"/>
                <w:sz w:val="18"/>
              </w:rPr>
              <w:t>Saldo operativo proyectado</w:t>
            </w:r>
          </w:p>
        </w:tc>
        <w:tc>
          <w:tcPr>
            <w:tcW w:type="dxa" w:w="4759"/>
            <w:vAlign w:val="top"/>
          </w:tcPr>
          <w:p>
            <w:r>
              <w:rPr>
                <w:rFonts w:ascii="Arial" w:hAnsi="Arial"/>
                <w:sz w:val="18"/>
              </w:rPr>
              <w:t>38.920 UYU</w:t>
            </w:r>
          </w:p>
        </w:tc>
      </w:tr>
    </w:tbl>
    <w:p/>
    <w:p>
      <w:pPr>
        <w:spacing w:after="120" w:line="259" w:lineRule="auto"/>
      </w:pPr>
      <w:r>
        <w:t>Bajo el escenario académico planteado, los ingresos de 60.000 UYU permitirían cubrir los 21.080 UYU estimados de infraestructura y operación, dejando una diferencia positiva de 38.920 UYU antes de considerar otros gastos no incluidos.</w:t>
      </w:r>
    </w:p>
    <w:p>
      <w:pPr>
        <w:spacing w:after="120" w:line="259" w:lineRule="auto"/>
      </w:pPr>
      <w:r>
        <w:t>Si se incluye además el costo equivalente inicial de desarrollo de 252.000 UYU, el primer año no permitiría recuperar completamente la inversión total: 60.000 - 273.080 = -213.080 UYU.</w:t>
      </w:r>
    </w:p>
    <w:p>
      <w:pPr>
        <w:spacing w:after="120" w:line="259" w:lineRule="auto"/>
      </w:pPr>
      <w:r>
        <w:t>Por lo tanto, existe una diferencia importante entre evaluar la sostenibilidad operativa y evaluar la recuperación completa del costo de desarrollo. El escenario proyectado permitiría cubrir los gastos anuales estimados de funcionamiento, pero no recuperar el valor equivalente del desarrollo durante el primer año.</w:t>
      </w:r>
    </w:p>
    <w:p>
      <w:pPr>
        <w:pStyle w:val="Heading2"/>
        <w:spacing w:before="160" w:after="100"/>
      </w:pPr>
      <w:r>
        <w:t>6.12 Estrategia de crecimiento</w:t>
      </w:r>
    </w:p>
    <w:p>
      <w:pPr>
        <w:pStyle w:val="ListNumber"/>
        <w:spacing w:after="40"/>
      </w:pPr>
      <w:r>
        <w:t>Lanzamiento del Plan Free para facilitar que organizaciones conozcan ASCEND.</w:t>
      </w:r>
    </w:p>
    <w:p>
      <w:pPr>
        <w:pStyle w:val="ListNumber"/>
        <w:spacing w:after="40"/>
      </w:pPr>
      <w:r>
        <w:t>Captación de clubes, academias, ligas e instituciones.</w:t>
      </w:r>
    </w:p>
    <w:p>
      <w:pPr>
        <w:pStyle w:val="ListNumber"/>
        <w:spacing w:after="40"/>
      </w:pPr>
      <w:r>
        <w:t>Conversión de organizaciones al Plan Pro.</w:t>
      </w:r>
    </w:p>
    <w:p>
      <w:pPr>
        <w:pStyle w:val="ListNumber"/>
        <w:spacing w:after="40"/>
      </w:pPr>
      <w:r>
        <w:t>Incorporación del Plan Business para organizaciones con mayores necesidades.</w:t>
      </w:r>
    </w:p>
    <w:p>
      <w:pPr>
        <w:pStyle w:val="ListNumber"/>
        <w:spacing w:after="40"/>
      </w:pPr>
      <w:r>
        <w:t>Incorporación futura de servicios adicionales.</w:t>
      </w:r>
    </w:p>
    <w:p>
      <w:pPr>
        <w:spacing w:after="120" w:line="259" w:lineRule="auto"/>
      </w:pPr>
      <w:r>
        <w:t>Antes de aplicar comercialmente esta estrategia deberá realizarse un estudio de mercado que permita validar precios, competencia y demanda.</w:t>
      </w:r>
    </w:p>
    <w:p>
      <w:pPr>
        <w:pStyle w:val="Heading2"/>
        <w:spacing w:before="160" w:after="100"/>
      </w:pPr>
      <w:r>
        <w:t>6.13 Conclusión de factibilidad económica</w:t>
      </w:r>
    </w:p>
    <w:p>
      <w:pPr>
        <w:spacing w:after="120" w:line="259" w:lineRule="auto"/>
      </w:pPr>
      <w:r>
        <w:t>ASCEND presenta una factibilidad económica favorable para continuar con su desarrollo académico, ya que la mayor parte de los recursos requeridos se encuentran disponibles y el costo equivalente de las horas de desarrollo no representa actualmente un desembolso.</w:t>
      </w:r>
    </w:p>
    <w:p>
      <w:pPr>
        <w:spacing w:after="120" w:line="259" w:lineRule="auto"/>
      </w:pPr>
      <w:r>
        <w:t>Para una futura operación se estiman costos de infraestructura y funcionamiento de 21.080 UYU anuales. Bajo el escenario académico de diez organizaciones abonando 500 UYU mensuales, se obtendrían 60.000 UYU anuales, suficientes para cubrir dichos costos y generar un saldo operativo estimado de 38.920 UYU.</w:t>
      </w:r>
    </w:p>
    <w:p>
      <w:pPr>
        <w:spacing w:after="120" w:line="259" w:lineRule="auto"/>
      </w:pPr>
      <w:r>
        <w:t>Sin embargo, esos ingresos no permitirían recuperar durante el primer año el costo equivalente completo del desarrollo. Además, tanto la cantidad de clientes como el precio utilizado son hipótesis académicas.</w:t>
      </w:r>
    </w:p>
    <w:p>
      <w:pPr>
        <w:spacing w:after="120" w:line="259" w:lineRule="auto"/>
      </w:pPr>
      <w:r>
        <w:t>Por lo tanto, antes de una explotación comercial deberá realizarse un estudio de mercado y una proyección financiera más completa.</w:t>
      </w:r>
    </w:p>
    <w:p>
      <w:pPr>
        <w:pStyle w:val="Heading1"/>
        <w:spacing w:before="160" w:after="100"/>
      </w:pPr>
      <w:r>
        <w:t>7. Factibilidad operativa</w:t>
      </w:r>
    </w:p>
    <w:p>
      <w:pPr>
        <w:spacing w:after="120" w:line="259" w:lineRule="auto"/>
      </w:pPr>
      <w:r>
        <w:t>La factibilidad operativa determina si ASCEND responde a necesidades reales de sus usuarios y si puede incorporarse a los procesos utilizados actualmente para organizar competencias.</w:t>
      </w:r>
    </w:p>
    <w:p>
      <w:pPr>
        <w:pStyle w:val="Heading2"/>
        <w:spacing w:before="160" w:after="100"/>
      </w:pPr>
      <w:r>
        <w:t>7.1 Necesidades de los usuarios</w:t>
      </w:r>
    </w:p>
    <w:p>
      <w:pPr>
        <w:spacing w:after="120" w:line="259" w:lineRule="auto"/>
      </w:pPr>
      <w:r>
        <w:t>Para el relevamiento de necesidades de ASCEND se utilizaron una entrevista semiestructurada y una encuesta mediante formulario digital.</w:t>
      </w:r>
    </w:p>
    <w:p>
      <w:pPr>
        <w:spacing w:after="120" w:line="259" w:lineRule="auto"/>
      </w:pPr>
      <w:r>
        <w:t>La entrevista permitió analizar procesos utilizados en la organización real de competencias. Entre los problemas identificados se encontraron tareas vinculadas con inscripciones, utilización de planillas, generación de enfrentamientos, orden de partidos y actualización de posiciones.</w:t>
      </w:r>
    </w:p>
    <w:p>
      <w:pPr>
        <w:spacing w:after="120" w:line="259" w:lineRule="auto"/>
      </w:pPr>
      <w:r>
        <w:t>La encuesta permitió recopilar información relacionada con disciplinas, frecuencia de participación, formas actuales de gestión, principales dificultades, funcionalidades consideradas necesarias, comunicación, notificaciones y rankings.</w:t>
      </w:r>
    </w:p>
    <w:p>
      <w:pPr>
        <w:spacing w:after="120" w:line="259" w:lineRule="auto"/>
      </w:pPr>
      <w:r>
        <w:t>Estas técnicas permiten que los requerimientos del sistema se fundamenten en información obtenida de potenciales usuarios y organizadores y no únicamente en decisiones internas del equipo.</w:t>
      </w:r>
    </w:p>
    <w:p>
      <w:pPr>
        <w:pStyle w:val="Heading2"/>
        <w:spacing w:before="160" w:after="100"/>
      </w:pPr>
      <w:r>
        <w:t>7.2 Impacto sobre los procesos actuales</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D9EAF7"/>
          </w:tcPr>
          <w:p>
            <w:r>
              <w:rPr>
                <w:rFonts w:ascii="Arial" w:hAnsi="Arial"/>
                <w:b/>
                <w:sz w:val="18"/>
              </w:rPr>
              <w:t>Proceso actual</w:t>
            </w:r>
          </w:p>
        </w:tc>
        <w:tc>
          <w:tcPr>
            <w:tcW w:type="dxa" w:w="4759"/>
            <w:vAlign w:val="center"/>
            <w:shd w:fill="D9EAF7"/>
          </w:tcPr>
          <w:p>
            <w:r>
              <w:rPr>
                <w:rFonts w:ascii="Arial" w:hAnsi="Arial"/>
                <w:b/>
                <w:sz w:val="18"/>
              </w:rPr>
              <w:t>Proceso mediante ASCEND</w:t>
            </w:r>
          </w:p>
        </w:tc>
      </w:tr>
      <w:tr>
        <w:tc>
          <w:tcPr>
            <w:tcW w:type="dxa" w:w="4759"/>
            <w:vAlign w:val="top"/>
          </w:tcPr>
          <w:p>
            <w:r>
              <w:rPr>
                <w:rFonts w:ascii="Arial" w:hAnsi="Arial"/>
                <w:sz w:val="18"/>
              </w:rPr>
              <w:t>Inscripciones mediante formularios, correo u otros medios</w:t>
            </w:r>
          </w:p>
        </w:tc>
        <w:tc>
          <w:tcPr>
            <w:tcW w:type="dxa" w:w="4759"/>
            <w:vAlign w:val="top"/>
          </w:tcPr>
          <w:p>
            <w:r>
              <w:rPr>
                <w:rFonts w:ascii="Arial" w:hAnsi="Arial"/>
                <w:sz w:val="18"/>
              </w:rPr>
              <w:t>Solicitudes de inscripción centralizadas en el torneo</w:t>
            </w:r>
          </w:p>
        </w:tc>
      </w:tr>
      <w:tr>
        <w:tc>
          <w:tcPr>
            <w:tcW w:type="dxa" w:w="4759"/>
            <w:vAlign w:val="top"/>
          </w:tcPr>
          <w:p>
            <w:r>
              <w:rPr>
                <w:rFonts w:ascii="Arial" w:hAnsi="Arial"/>
                <w:sz w:val="18"/>
              </w:rPr>
              <w:t>Registro de participantes en planillas</w:t>
            </w:r>
          </w:p>
        </w:tc>
        <w:tc>
          <w:tcPr>
            <w:tcW w:type="dxa" w:w="4759"/>
            <w:vAlign w:val="top"/>
          </w:tcPr>
          <w:p>
            <w:r>
              <w:rPr>
                <w:rFonts w:ascii="Arial" w:hAnsi="Arial"/>
                <w:sz w:val="18"/>
              </w:rPr>
              <w:t>Jugadores y Equipos almacenados en la plataforma</w:t>
            </w:r>
          </w:p>
        </w:tc>
      </w:tr>
      <w:tr>
        <w:tc>
          <w:tcPr>
            <w:tcW w:type="dxa" w:w="4759"/>
            <w:vAlign w:val="top"/>
          </w:tcPr>
          <w:p>
            <w:r>
              <w:rPr>
                <w:rFonts w:ascii="Arial" w:hAnsi="Arial"/>
                <w:sz w:val="18"/>
              </w:rPr>
              <w:t>Organización manual de enfrentamientos</w:t>
            </w:r>
          </w:p>
        </w:tc>
        <w:tc>
          <w:tcPr>
            <w:tcW w:type="dxa" w:w="4759"/>
            <w:vAlign w:val="top"/>
          </w:tcPr>
          <w:p>
            <w:r>
              <w:rPr>
                <w:rFonts w:ascii="Arial" w:hAnsi="Arial"/>
                <w:sz w:val="18"/>
              </w:rPr>
              <w:t>Generación de enfrentamientos según el formato</w:t>
            </w:r>
          </w:p>
        </w:tc>
      </w:tr>
      <w:tr>
        <w:tc>
          <w:tcPr>
            <w:tcW w:type="dxa" w:w="4759"/>
            <w:vAlign w:val="top"/>
          </w:tcPr>
          <w:p>
            <w:r>
              <w:rPr>
                <w:rFonts w:ascii="Arial" w:hAnsi="Arial"/>
                <w:sz w:val="18"/>
              </w:rPr>
              <w:t>Resultados registrados en diferentes medios</w:t>
            </w:r>
          </w:p>
        </w:tc>
        <w:tc>
          <w:tcPr>
            <w:tcW w:type="dxa" w:w="4759"/>
            <w:vAlign w:val="top"/>
          </w:tcPr>
          <w:p>
            <w:r>
              <w:rPr>
                <w:rFonts w:ascii="Arial" w:hAnsi="Arial"/>
                <w:sz w:val="18"/>
              </w:rPr>
              <w:t>Resultados asociados directamente a los enfrentamientos</w:t>
            </w:r>
          </w:p>
        </w:tc>
      </w:tr>
      <w:tr>
        <w:tc>
          <w:tcPr>
            <w:tcW w:type="dxa" w:w="4759"/>
            <w:vAlign w:val="top"/>
          </w:tcPr>
          <w:p>
            <w:r>
              <w:rPr>
                <w:rFonts w:ascii="Arial" w:hAnsi="Arial"/>
                <w:sz w:val="18"/>
              </w:rPr>
              <w:t>Actualización manual de posiciones</w:t>
            </w:r>
          </w:p>
        </w:tc>
        <w:tc>
          <w:tcPr>
            <w:tcW w:type="dxa" w:w="4759"/>
            <w:vAlign w:val="top"/>
          </w:tcPr>
          <w:p>
            <w:r>
              <w:rPr>
                <w:rFonts w:ascii="Arial" w:hAnsi="Arial"/>
                <w:sz w:val="18"/>
              </w:rPr>
              <w:t>Actualización de clasificación a partir de resultados</w:t>
            </w:r>
          </w:p>
        </w:tc>
      </w:tr>
      <w:tr>
        <w:tc>
          <w:tcPr>
            <w:tcW w:type="dxa" w:w="4759"/>
            <w:vAlign w:val="top"/>
          </w:tcPr>
          <w:p>
            <w:r>
              <w:rPr>
                <w:rFonts w:ascii="Arial" w:hAnsi="Arial"/>
                <w:sz w:val="18"/>
              </w:rPr>
              <w:t>Información distribuida</w:t>
            </w:r>
          </w:p>
        </w:tc>
        <w:tc>
          <w:tcPr>
            <w:tcW w:type="dxa" w:w="4759"/>
            <w:vAlign w:val="top"/>
          </w:tcPr>
          <w:p>
            <w:r>
              <w:rPr>
                <w:rFonts w:ascii="Arial" w:hAnsi="Arial"/>
                <w:sz w:val="18"/>
              </w:rPr>
              <w:t>Consulta desde una misma plataforma</w:t>
            </w:r>
          </w:p>
        </w:tc>
      </w:tr>
      <w:tr>
        <w:tc>
          <w:tcPr>
            <w:tcW w:type="dxa" w:w="4759"/>
            <w:vAlign w:val="top"/>
          </w:tcPr>
          <w:p>
            <w:r>
              <w:rPr>
                <w:rFonts w:ascii="Arial" w:hAnsi="Arial"/>
                <w:sz w:val="18"/>
              </w:rPr>
              <w:t>Seguimiento manual del rendimiento</w:t>
            </w:r>
          </w:p>
        </w:tc>
        <w:tc>
          <w:tcPr>
            <w:tcW w:type="dxa" w:w="4759"/>
            <w:vAlign w:val="top"/>
          </w:tcPr>
          <w:p>
            <w:r>
              <w:rPr>
                <w:rFonts w:ascii="Arial" w:hAnsi="Arial"/>
                <w:sz w:val="18"/>
              </w:rPr>
              <w:t>Ranking por disciplina</w:t>
            </w:r>
          </w:p>
        </w:tc>
      </w:tr>
    </w:tbl>
    <w:p/>
    <w:p>
      <w:pPr>
        <w:spacing w:after="120" w:line="259" w:lineRule="auto"/>
      </w:pPr>
      <w:r>
        <w:t>El cambio principal consiste, por tanto, en pasar de procesos distribuidos y parcialmente manuales a una gestión centralizada.</w:t>
      </w:r>
    </w:p>
    <w:p>
      <w:pPr>
        <w:pStyle w:val="Heading2"/>
        <w:spacing w:before="160" w:after="100"/>
      </w:pPr>
      <w:r>
        <w:t>7.3 Aceptación del sistema</w:t>
      </w:r>
    </w:p>
    <w:p>
      <w:pPr>
        <w:spacing w:after="120" w:line="259" w:lineRule="auto"/>
      </w:pPr>
      <w:r>
        <w:t>La aceptación de ASCEND dependerá de que las funcionalidades desarrolladas respondan a las necesidades identificadas y de que los diferentes perfiles puedan realizar sus tareas sin dificultades innecesarias.</w:t>
      </w:r>
    </w:p>
    <w:p>
      <w:pPr>
        <w:spacing w:after="120" w:line="259" w:lineRule="auto"/>
      </w:pPr>
      <w:r>
        <w:t>La separación entre Usuario Público, Jugador, Organizador y Administrador permite presentar a cada perfil únicamente las funcionalidades correspondientes a sus responsabilidades.</w:t>
      </w:r>
    </w:p>
    <w:p>
      <w:pPr>
        <w:spacing w:after="120" w:line="259" w:lineRule="auto"/>
      </w:pPr>
      <w:r>
        <w:t>No resulta correcto establecer todavía un porcentaje concreto de aceptación si las evidencias de relevamiento disponibles no proporcionan ese dato. La aceptación definitiva deberá medirse durante las pruebas con usuarios.</w:t>
      </w:r>
    </w:p>
    <w:p>
      <w:pPr>
        <w:pStyle w:val="Heading2"/>
        <w:spacing w:before="160" w:after="100"/>
      </w:pPr>
      <w:r>
        <w:t>7.4 Capacitación necesaria</w:t>
      </w:r>
    </w:p>
    <w:p>
      <w:pPr>
        <w:spacing w:after="120" w:line="259" w:lineRule="auto"/>
      </w:pPr>
      <w:r>
        <w:t>Los Usuarios Públicos y Jugadores utilizarán principalmente funciones de consulta, registro, inscripción y participación, por lo que se buscará que estas acciones puedan realizarse directamente mediante la interfaz.</w:t>
      </w:r>
    </w:p>
    <w:p>
      <w:pPr>
        <w:spacing w:after="120" w:line="259" w:lineRule="auto"/>
      </w:pPr>
      <w:r>
        <w:t>Los Organizadores y Administradores dispondrán de funcionalidades de mayor alcance y podrán requerir documentación de apoyo para procesos como creación y configuración de torneos, administración de solicitudes, resultados y funciones administrativas.</w:t>
      </w:r>
    </w:p>
    <w:p>
      <w:pPr>
        <w:spacing w:after="120" w:line="259" w:lineRule="auto"/>
      </w:pPr>
      <w:r>
        <w:t>La necesidad concreta de capacitación deberá determinarse mediante las pruebas de usabilidad y validación realizadas antes de una puesta en producción.</w:t>
      </w:r>
    </w:p>
    <w:p>
      <w:pPr>
        <w:pStyle w:val="Heading2"/>
        <w:spacing w:before="160" w:after="100"/>
      </w:pPr>
      <w:r>
        <w:t>7.5 Conclusión de factibilidad operativa</w:t>
      </w:r>
    </w:p>
    <w:p>
      <w:pPr>
        <w:spacing w:after="120" w:line="259" w:lineRule="auto"/>
      </w:pPr>
      <w:r>
        <w:t>ASCEND presenta una factibilidad operativa alta, ya que sus funcionalidades responden a procesos y necesidades estudiados mediante técnicas de relevamiento.</w:t>
      </w:r>
    </w:p>
    <w:p>
      <w:pPr>
        <w:spacing w:after="120" w:line="259" w:lineRule="auto"/>
      </w:pPr>
      <w:r>
        <w:t>La centralización de inscripciones, participantes, enfrentamientos, resultados y clasificaciones puede reducir la utilización simultánea de diferentes herramientas y simplificar la administración de competencias.</w:t>
      </w:r>
    </w:p>
    <w:p>
      <w:pPr>
        <w:spacing w:after="120" w:line="259" w:lineRule="auto"/>
      </w:pPr>
      <w:r>
        <w:t>La aceptación definitiva y el nivel de capacitación necesario deberán comprobarse mediante pruebas con usuarios.</w:t>
      </w:r>
    </w:p>
    <w:p>
      <w:pPr>
        <w:pStyle w:val="Heading1"/>
        <w:spacing w:before="160" w:after="100"/>
      </w:pPr>
      <w:r>
        <w:t>8. Factibilidad legal</w:t>
      </w:r>
    </w:p>
    <w:p>
      <w:pPr>
        <w:spacing w:after="120" w:line="259" w:lineRule="auto"/>
      </w:pPr>
      <w:r>
        <w:t>La factibilidad legal analiza si ASCEND puede desarrollarse y utilizarse respetando las leyes, licencias y obligaciones aplicables.</w:t>
      </w:r>
    </w:p>
    <w:p>
      <w:pPr>
        <w:pStyle w:val="Heading2"/>
        <w:spacing w:before="160" w:after="100"/>
      </w:pPr>
      <w:r>
        <w:t>8.1 Protección de datos personales</w:t>
      </w:r>
    </w:p>
    <w:p>
      <w:pPr>
        <w:spacing w:after="120" w:line="259" w:lineRule="auto"/>
      </w:pPr>
      <w:r>
        <w:t>ASCEND almacenará información relacionada con las cuentas de sus usuarios, por lo que deberá proteger los datos personales recopilados y limitar su utilización a las finalidades correspondientes a la plataforma.</w:t>
      </w:r>
    </w:p>
    <w:p>
      <w:pPr>
        <w:spacing w:after="120" w:line="259" w:lineRule="auto"/>
      </w:pPr>
      <w:r>
        <w:t>Los usuarios deberán conocer qué información es recopilada y con qué finalidad se utiliza.</w:t>
      </w:r>
    </w:p>
    <w:p>
      <w:pPr>
        <w:spacing w:after="120" w:line="259" w:lineRule="auto"/>
      </w:pPr>
      <w:r>
        <w:t>Las contraseñas no deberán almacenarse en texto plano y deberán utilizarse mecanismos de protección apropiados para las credenciales.</w:t>
      </w:r>
    </w:p>
    <w:p>
      <w:pPr>
        <w:spacing w:after="120" w:line="259" w:lineRule="auto"/>
      </w:pPr>
      <w:r>
        <w:t>Antes de una puesta en producción deberá determinarse concretamente la normativa de protección de datos personales aplicable según la jurisdicción en la que opere ASCEND.</w:t>
      </w:r>
    </w:p>
    <w:p>
      <w:pPr>
        <w:pStyle w:val="Heading2"/>
        <w:spacing w:before="160" w:after="100"/>
      </w:pPr>
      <w:r>
        <w:t>8.2 Propiedad intelectual</w:t>
      </w:r>
    </w:p>
    <w:p>
      <w:pPr>
        <w:spacing w:after="120" w:line="259" w:lineRule="auto"/>
      </w:pPr>
      <w:r>
        <w:t>Durante el desarrollo deberán respetarse los derechos de propiedad intelectual asociados con código, imágenes, logotipos, tipografías, recursos gráficos y demás materiales pertenecientes a terceros.</w:t>
      </w:r>
    </w:p>
    <w:p>
      <w:pPr>
        <w:spacing w:after="120" w:line="259" w:lineRule="auto"/>
      </w:pPr>
      <w:r>
        <w:t>No deberán incorporarse recursos cuando su utilización no esté autorizada por su licencia o condiciones de uso.</w:t>
      </w:r>
    </w:p>
    <w:p>
      <w:pPr>
        <w:spacing w:after="120" w:line="259" w:lineRule="auto"/>
      </w:pPr>
      <w:r>
        <w:t>Las marcas y elementos correspondientes a disciplinas, videojuegos u organizaciones deberán utilizarse únicamente cuando las condiciones aplicables permitan hacerlo.</w:t>
      </w:r>
    </w:p>
    <w:p>
      <w:pPr>
        <w:pStyle w:val="Heading2"/>
        <w:spacing w:before="160" w:after="100"/>
      </w:pPr>
      <w:r>
        <w:t>8.3 Licencias de software</w:t>
      </w:r>
    </w:p>
    <w:p>
      <w:pPr>
        <w:spacing w:after="120" w:line="259" w:lineRule="auto"/>
      </w:pPr>
      <w:r>
        <w:t>Las tecnologías, bibliotecas y componentes externos incorporados a ASCEND deberán utilizarse respetando sus respectivas licencias.</w:t>
      </w:r>
    </w:p>
    <w:p>
      <w:pPr>
        <w:spacing w:after="120" w:line="259" w:lineRule="auto"/>
      </w:pPr>
      <w:r>
        <w:t>Cuando se incorpore software de código abierto deberá verificarse si su licencia permite su utilización, modificación y distribución en las condiciones previstas para ASCEND, además de cumplir con las obligaciones de atribución cuando corresponda.</w:t>
      </w:r>
    </w:p>
    <w:p>
      <w:pPr>
        <w:pStyle w:val="Heading2"/>
        <w:spacing w:before="160" w:after="100"/>
      </w:pPr>
      <w:r>
        <w:t>8.4 Servicios externos y contratos</w:t>
      </w:r>
    </w:p>
    <w:p>
      <w:pPr>
        <w:spacing w:after="120" w:line="259" w:lineRule="auto"/>
      </w:pPr>
      <w:r>
        <w:t>Si ASCEND utiliza servicios externos como hosting, dominio, correo electrónico, APIs u otros proveedores, deberán revisarse sus términos de servicio, políticas y condiciones contractuales.</w:t>
      </w:r>
    </w:p>
    <w:p>
      <w:pPr>
        <w:spacing w:after="120" w:line="259" w:lineRule="auto"/>
      </w:pPr>
      <w:r>
        <w:t>Antes de contratar dichos servicios deberá comprobarse que sus condiciones sean compatibles con la utilización prevista para la plataforma.</w:t>
      </w:r>
    </w:p>
    <w:p>
      <w:pPr>
        <w:pStyle w:val="Heading2"/>
        <w:spacing w:before="160" w:after="100"/>
      </w:pPr>
      <w:r>
        <w:t>8.5 Políticas y documentación</w:t>
      </w:r>
    </w:p>
    <w:p>
      <w:pPr>
        <w:spacing w:after="120" w:line="259" w:lineRule="auto"/>
      </w:pPr>
      <w:r>
        <w:t>Antes de una puesta en producción deberán definirse los documentos necesarios para informar a los usuarios acerca del servicio y del tratamiento de sus datos.</w:t>
      </w:r>
    </w:p>
    <w:p>
      <w:pPr>
        <w:pStyle w:val="ListBullet"/>
        <w:spacing w:after="40"/>
      </w:pPr>
      <w:r>
        <w:t>Política de privacidad.</w:t>
      </w:r>
    </w:p>
    <w:p>
      <w:pPr>
        <w:pStyle w:val="ListBullet"/>
        <w:spacing w:after="40"/>
      </w:pPr>
      <w:r>
        <w:t>Términos y condiciones de uso.</w:t>
      </w:r>
    </w:p>
    <w:p>
      <w:pPr>
        <w:pStyle w:val="ListBullet"/>
        <w:spacing w:after="40"/>
      </w:pPr>
      <w:r>
        <w:t>Información sobre tratamiento de datos personales.</w:t>
      </w:r>
    </w:p>
    <w:p>
      <w:pPr>
        <w:pStyle w:val="ListBullet"/>
        <w:spacing w:after="40"/>
      </w:pPr>
      <w:r>
        <w:t>Condiciones aplicables a las cuentas y utilización de la plataforma.</w:t>
      </w:r>
    </w:p>
    <w:p>
      <w:pPr>
        <w:pStyle w:val="Heading2"/>
        <w:spacing w:before="160" w:after="100"/>
      </w:pPr>
      <w:r>
        <w:t>8.6 Políticas institucionales</w:t>
      </w:r>
    </w:p>
    <w:p>
      <w:pPr>
        <w:spacing w:after="120" w:line="259" w:lineRule="auto"/>
      </w:pPr>
      <w:r>
        <w:t>Durante la etapa académica, ASCEND deberá respetar las condiciones, tecnologías, documentación y criterios establecidos para el Proyecto de Egreso.</w:t>
      </w:r>
    </w:p>
    <w:p>
      <w:pPr>
        <w:spacing w:after="120" w:line="259" w:lineRule="auto"/>
      </w:pPr>
      <w:r>
        <w:t>Una futura explotación comercial deberá diferenciarse de estas obligaciones académicas y cumplir las condiciones legales y contractuales correspondientes a su operación.</w:t>
      </w:r>
    </w:p>
    <w:p>
      <w:pPr>
        <w:pStyle w:val="Heading2"/>
        <w:spacing w:before="160" w:after="100"/>
      </w:pPr>
      <w:r>
        <w:t>8.7 Conclusión de factibilidad legal</w:t>
      </w:r>
    </w:p>
    <w:p>
      <w:pPr>
        <w:spacing w:after="120" w:line="259" w:lineRule="auto"/>
      </w:pPr>
      <w:r>
        <w:t>La factibilidad legal de ASCEND se considera favorable pero condicionada.</w:t>
      </w:r>
    </w:p>
    <w:p>
      <w:pPr>
        <w:spacing w:after="120" w:line="259" w:lineRule="auto"/>
      </w:pPr>
      <w:r>
        <w:t>No se identifican, a partir del análisis actual, impedimentos que imposibiliten continuar con el desarrollo académico. Sin embargo, antes de una puesta en producción deberán verificarse las licencias de todos los recursos utilizados, establecerse las políticas correspondientes para el tratamiento de datos personales y determinarse la normativa y jurisdicción aplicables.</w:t>
      </w:r>
    </w:p>
    <w:p>
      <w:pPr>
        <w:pStyle w:val="Heading1"/>
        <w:spacing w:before="160" w:after="100"/>
      </w:pPr>
      <w:r>
        <w:t>9. Conclusión general de factibilidad</w:t>
      </w:r>
    </w:p>
    <w:p>
      <w:pPr>
        <w:spacing w:after="120" w:line="259" w:lineRule="auto"/>
      </w:pPr>
      <w:r>
        <w:t>A partir del análisis técnico, económico, operativo y legal realizado, ASCEND se considera parcialmente factible bajo condiciones para una futura puesta en producción y factible para continuar con su desarrollo académico.</w:t>
      </w:r>
    </w:p>
    <w:p>
      <w:pPr>
        <w:spacing w:after="120" w:line="259" w:lineRule="auto"/>
      </w:pPr>
      <w:r>
        <w:t>La factibilidad técnica es alta, ya que las tecnologías, herramientas, equipos y conocimientos necesarios se encuentran disponibles para continuar el desarrollo. El principal aspecto pendiente es la selección y configuración de la infraestructura definitiva de producción.</w:t>
      </w:r>
    </w:p>
    <w:p>
      <w:pPr>
        <w:spacing w:after="120" w:line="259" w:lineRule="auto"/>
      </w:pPr>
      <w:r>
        <w:t>La factibilidad económica es favorable en la etapa actual. El costo equivalente total del primer año se estima en 273.080 UYU, de los cuales 252.000 UYU representan el valor del trabajo del equipo y no un desembolso actual. Los gastos estimados de infraestructura y operación son de 21.080 UYU anuales. Bajo la proyección académica de diez organizaciones contratando el Plan Pro por 500 UYU mensuales, se generarían 60.000 UYU anuales, suficientes para cubrir los gastos operativos estimados, aunque no para recuperar durante el primer año el costo equivalente completo del desarrollo.</w:t>
      </w:r>
    </w:p>
    <w:p>
      <w:pPr>
        <w:spacing w:after="120" w:line="259" w:lineRule="auto"/>
      </w:pPr>
      <w:r>
        <w:t>La factibilidad operativa es alta, debido a que ASCEND responde a necesidades y procesos analizados mediante técnicas de relevamiento y propone centralizar actividades actualmente realizadas mediante diferentes herramientas. La aceptación y capacitación deberán verificarse mediante pruebas con usuarios.</w:t>
      </w:r>
    </w:p>
    <w:p>
      <w:pPr>
        <w:spacing w:after="120" w:line="259" w:lineRule="auto"/>
      </w:pPr>
      <w:r>
        <w:t>La factibilidad legal es favorable pero condicionada. No se identifican actualmente impedimentos para continuar con el desarrollo, pero antes de una utilización comercial deberán verificarse las licencias de los recursos utilizados, la protección de los datos personales, las políticas necesarias y la normativa correspondiente.</w:t>
      </w:r>
    </w:p>
    <w:p>
      <w:pPr>
        <w:spacing w:after="120" w:line="259" w:lineRule="auto"/>
      </w:pPr>
      <w:r>
        <w:t>En consecuencia, no se identifican impedimentos que justifiquen detener el desarrollo de ASCEND. El proyecto puede continuar en su etapa actual.</w:t>
      </w:r>
    </w:p>
    <w:p>
      <w:pPr>
        <w:spacing w:after="120" w:line="259" w:lineRule="auto"/>
      </w:pPr>
      <w:r>
        <w:t>Para considerar completamente viable una futura puesta en producción deberán resolverse principalmente la contratación de infraestructura, la validación del modelo económico mediante un estudio de mercado, las pruebas de aceptación con usuarios y la definición de las obligaciones legales aplicables.</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ASCEND - Estudio de Factibilidad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