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5F1D7C" w:rsidP="005F1D7C">
      <w:pPr>
        <w:jc w:val="center"/>
        <w:rPr>
          <w:rFonts w:ascii="Cambria Math" w:hAnsi="Cambria Math"/>
          <w:u w:val="single"/>
        </w:rPr>
      </w:pPr>
      <w:r w:rsidRPr="005F1D7C">
        <w:rPr>
          <w:rFonts w:ascii="Cambria Math" w:hAnsi="Cambria Math"/>
          <w:u w:val="single"/>
        </w:rPr>
        <w:t>MATRIZ ASOSIADA A UNA TRANSFRMACIÓN LINEAR</w:t>
      </w:r>
    </w:p>
    <w:p w:rsidR="005F1D7C" w:rsidRDefault="005F1D7C" w:rsidP="005F1D7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7C" w:rsidRDefault="005F1D7C" w:rsidP="005F1D7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171950" cy="150463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03" cy="15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7C" w:rsidRPr="005F1D7C" w:rsidRDefault="005F1D7C" w:rsidP="005F1D7C">
      <w:pPr>
        <w:jc w:val="center"/>
        <w:rPr>
          <w:rFonts w:ascii="Cambria Math" w:hAnsi="Cambria Math"/>
          <w:u w:val="single"/>
        </w:rPr>
      </w:pPr>
      <w:r w:rsidRPr="005F1D7C">
        <w:rPr>
          <w:rFonts w:ascii="Cambria Math" w:hAnsi="Cambria Math"/>
          <w:u w:val="single"/>
        </w:rPr>
        <w:t>Definición de Transformación de dilatación o contracción en la dirección del eje x</w:t>
      </w:r>
    </w:p>
    <w:p w:rsidR="005F1D7C" w:rsidRDefault="005F1D7C" w:rsidP="005F1D7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876675" cy="8477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997" cy="85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7C" w:rsidRDefault="005F1D7C" w:rsidP="005F1D7C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Análogamente para la contracción o dilatación en la dirección del eje y.</w:t>
      </w:r>
    </w:p>
    <w:p w:rsidR="005F1D7C" w:rsidRDefault="00E62066" w:rsidP="005F1D7C">
      <w:pPr>
        <w:jc w:val="center"/>
        <w:rPr>
          <w:rFonts w:ascii="Cambria Math" w:hAnsi="Cambria Math"/>
          <w:u w:val="single"/>
        </w:rPr>
      </w:pPr>
      <w:r w:rsidRPr="00E62066">
        <w:rPr>
          <w:rFonts w:ascii="Cambria Math" w:hAnsi="Cambria Math"/>
          <w:u w:val="single"/>
        </w:rPr>
        <w:t>Definición de Transformación de corte o c</w:t>
      </w:r>
      <w:r>
        <w:rPr>
          <w:rFonts w:ascii="Cambria Math" w:hAnsi="Cambria Math"/>
          <w:u w:val="single"/>
        </w:rPr>
        <w:t>izalladura horizontal</w:t>
      </w:r>
    </w:p>
    <w:p w:rsidR="00E62066" w:rsidRDefault="00E62066" w:rsidP="005F1D7C">
      <w:pPr>
        <w:jc w:val="center"/>
        <w:rPr>
          <w:rFonts w:ascii="Cambria Math" w:hAnsi="Cambria Math"/>
          <w:u w:val="single"/>
        </w:rPr>
      </w:pPr>
      <w:r w:rsidRPr="00E62066">
        <w:rPr>
          <w:rFonts w:ascii="Cambria Math" w:hAnsi="Cambria Math"/>
          <w:noProof/>
          <w:lang w:eastAsia="es-AR"/>
        </w:rPr>
        <w:drawing>
          <wp:inline distT="0" distB="0" distL="0" distR="0">
            <wp:extent cx="3457575" cy="7905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49" cy="79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66" w:rsidRDefault="00E62066" w:rsidP="005F1D7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Transformación de corte o cizalladura vertical</w:t>
      </w:r>
    </w:p>
    <w:p w:rsidR="00E62066" w:rsidRDefault="00E62066" w:rsidP="005F1D7C">
      <w:pPr>
        <w:jc w:val="center"/>
        <w:rPr>
          <w:rFonts w:ascii="Cambria Math" w:hAnsi="Cambria Math"/>
          <w:u w:val="single"/>
        </w:rPr>
      </w:pPr>
      <w:r w:rsidRPr="00E62066">
        <w:rPr>
          <w:rFonts w:ascii="Cambria Math" w:hAnsi="Cambria Math"/>
          <w:noProof/>
          <w:lang w:eastAsia="es-AR"/>
        </w:rPr>
        <w:drawing>
          <wp:inline distT="0" distB="0" distL="0" distR="0">
            <wp:extent cx="3543300" cy="1389385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322" cy="139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66" w:rsidRDefault="00E62066" w:rsidP="005F1D7C">
      <w:pPr>
        <w:jc w:val="center"/>
        <w:rPr>
          <w:rFonts w:ascii="Cambria Math" w:hAnsi="Cambria Math"/>
          <w:u w:val="single"/>
        </w:rPr>
      </w:pPr>
    </w:p>
    <w:p w:rsidR="00E62066" w:rsidRDefault="00E62066" w:rsidP="005F1D7C">
      <w:pPr>
        <w:jc w:val="center"/>
        <w:rPr>
          <w:rFonts w:ascii="Cambria Math" w:hAnsi="Cambria Math"/>
          <w:u w:val="single"/>
        </w:rPr>
      </w:pPr>
    </w:p>
    <w:p w:rsidR="00E62066" w:rsidRDefault="00E62066" w:rsidP="005F1D7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lastRenderedPageBreak/>
        <w:t>Definición de Matriz de cambio de base</w:t>
      </w:r>
    </w:p>
    <w:p w:rsidR="00E62066" w:rsidRDefault="00E62066" w:rsidP="005F1D7C">
      <w:pPr>
        <w:jc w:val="center"/>
        <w:rPr>
          <w:rFonts w:ascii="Cambria Math" w:hAnsi="Cambria Math"/>
          <w:u w:val="single"/>
        </w:rPr>
      </w:pPr>
      <w:r w:rsidRPr="00E62066">
        <w:rPr>
          <w:rFonts w:ascii="Cambria Math" w:hAnsi="Cambria Math"/>
          <w:noProof/>
          <w:lang w:eastAsia="es-AR"/>
        </w:rPr>
        <w:drawing>
          <wp:inline distT="0" distB="0" distL="0" distR="0">
            <wp:extent cx="4971661" cy="103822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82" cy="10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66" w:rsidRDefault="00E62066" w:rsidP="005F1D7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Matrices Semejantes:</w:t>
      </w:r>
    </w:p>
    <w:p w:rsidR="00E62066" w:rsidRDefault="00E62066" w:rsidP="005F1D7C">
      <w:pPr>
        <w:jc w:val="center"/>
        <w:rPr>
          <w:rFonts w:ascii="Cambria Math" w:hAnsi="Cambria Math"/>
          <w:u w:val="single"/>
        </w:rPr>
      </w:pPr>
      <w:r w:rsidRPr="00E62066"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400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58" cy="40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66" w:rsidRPr="00E62066" w:rsidRDefault="00E62066" w:rsidP="005F1D7C">
      <w:pPr>
        <w:jc w:val="center"/>
        <w:rPr>
          <w:rFonts w:ascii="Cambria Math" w:hAnsi="Cambria Math"/>
          <w:u w:val="single"/>
        </w:rPr>
      </w:pPr>
      <w:bookmarkStart w:id="0" w:name="_GoBack"/>
      <w:bookmarkEnd w:id="0"/>
    </w:p>
    <w:sectPr w:rsidR="00E62066" w:rsidRPr="00E62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7C"/>
    <w:rsid w:val="005F1D7C"/>
    <w:rsid w:val="00922027"/>
    <w:rsid w:val="00E62066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A868A1-F9BA-4C00-90C6-05D7A5E4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2020-08-24T23:52:00Z</dcterms:created>
  <dcterms:modified xsi:type="dcterms:W3CDTF">2020-08-25T00:21:00Z</dcterms:modified>
</cp:coreProperties>
</file>