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1: Creación de la tabla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estados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crea la tabla maestra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su respectivo ID autoincrementable y el nombre del estado único.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48338" cy="26574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4006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2: Insertar los 17 estados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insertan los 17 estados/departamentos correspondientes en la tabla maestra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-395287</wp:posOffset>
            </wp:positionH>
            <wp:positionV relativeFrom="paragraph">
              <wp:posOffset>200025</wp:posOffset>
            </wp:positionV>
            <wp:extent cx="6434138" cy="3771900"/>
            <wp:effectExtent b="0" l="0" r="0" t="0"/>
            <wp:wrapSquare wrapText="bothSides" distB="114300" distT="114300" distL="114300" distR="1143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4138" cy="377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3: Reemplazo de los nombres de estados por sus IDs en la tabla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actualiza la tabla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reemplazando los nombres de los estados por sus respectivos códigos numéricos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correspondientes.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-347662</wp:posOffset>
            </wp:positionH>
            <wp:positionV relativeFrom="paragraph">
              <wp:posOffset>200025</wp:posOffset>
            </wp:positionV>
            <wp:extent cx="6386513" cy="5886450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542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513" cy="5886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4: Cambio de tipo de dato de la columna estado y conteo de ciudades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modifica el tipo de dato de la columna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la tabla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que pase a ser entero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permitiendo relacionarla correctamente, y se realiza una consulta para verificar la cantidad de registros por ciudad.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-433387</wp:posOffset>
            </wp:positionH>
            <wp:positionV relativeFrom="paragraph">
              <wp:posOffset>962025</wp:posOffset>
            </wp:positionV>
            <wp:extent cx="6334125" cy="5781675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534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5781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5: Creación de la tabla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ciudades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 inserción de registros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crea la tabla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ciudades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un ID autoincrementable, el nombre único de cada ciudad y una llave foránea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FOREIGN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relacionada con la tabla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 posteriormente se insertan las 20 ciudades correspondientes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300279</wp:posOffset>
            </wp:positionV>
            <wp:extent cx="7029450" cy="3737056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737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6: Reemplazo de los nombres de ciudades por sus IDs en la tabla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clientes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consultan las relaciones ciudad-estado y posteriormente se actualiza la tabla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reemplazando los nombres de las ciudades por sus respectivos códigos numéricos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ciudad_id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correspondientes.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-339561</wp:posOffset>
            </wp:positionH>
            <wp:positionV relativeFrom="paragraph">
              <wp:posOffset>114300</wp:posOffset>
            </wp:positionV>
            <wp:extent cx="6410325" cy="3814763"/>
            <wp:effectExtent b="0" l="0" r="0" t="0"/>
            <wp:wrapTopAndBottom distB="114300" distT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275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3814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Paso 7: Conversión final, renombrado de columnas y establecimiento de la llave foránea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modifica el tipo de dato de la columna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ciudad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entero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se renombra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ciudad_id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 elimina la columna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sobrante y se crea la llave foránea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FOREIGN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que relaciona directamente la tabla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la tabla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ciudades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781050</wp:posOffset>
            </wp:positionV>
            <wp:extent cx="6515100" cy="3316636"/>
            <wp:effectExtent b="0" l="0" r="0" t="0"/>
            <wp:wrapSquare wrapText="bothSides" distB="114300" distT="114300" distL="114300" distR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1952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316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bzwjquq8le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Paso 8: Consulta analítica de clientes por ciudad y estado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 Se realiza una consulta avanzada utilizando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relacionar la tabla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la tabla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ciudades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la tabla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agrupando los registros para conocer cuántos clientes hay por cada ciudad y estado de forma ordenada.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-285749</wp:posOffset>
            </wp:positionH>
            <wp:positionV relativeFrom="paragraph">
              <wp:posOffset>885825</wp:posOffset>
            </wp:positionV>
            <wp:extent cx="6477000" cy="4943556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9435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