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0"/>
      </w:pPr>
      <w:r>
        <w:rPr>
          <w:rFonts w:ascii="Arial" w:cs="Arial" w:eastAsia="Arial" w:hAnsi="Arial"/>
          <w:b/>
          <w:bCs/>
          <w:color w:val="0A3D2A"/>
          <w:sz w:val="56"/>
          <w:szCs w:val="56"/>
        </w:rPr>
        <w:t xml:space="preserve">CanchaYa</w:t>
      </w:r>
    </w:p>
    <w:p>
      <w:pPr>
        <w:pBdr>
          <w:bottom w:val="single" w:color="A3E635" w:sz="12" w:space="6"/>
        </w:pBdr>
        <w:spacing w:after="360"/>
      </w:pPr>
      <w:r>
        <w:rPr>
          <w:rFonts w:ascii="Arial" w:cs="Arial" w:eastAsia="Arial" w:hAnsi="Arial"/>
          <w:color w:val="5B6770"/>
          <w:sz w:val="24"/>
          <w:szCs w:val="24"/>
        </w:rPr>
        <w:t xml:space="preserve">Sistema de reserva de canchas sintéticas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1F2933"/>
          <w:sz w:val="40"/>
          <w:szCs w:val="40"/>
        </w:rPr>
        <w:t xml:space="preserve">Resultados del Análisis con SonarQube</w:t>
      </w:r>
    </w:p>
    <w:p>
      <w:pPr>
        <w:spacing w:after="320"/>
      </w:pPr>
      <w:r>
        <w:rPr>
          <w:rFonts w:ascii="Arial" w:cs="Arial" w:eastAsia="Arial" w:hAnsi="Arial"/>
          <w:color w:val="5B6770"/>
          <w:sz w:val="24"/>
          <w:szCs w:val="24"/>
        </w:rPr>
        <w:t xml:space="preserve">Calidad estática del código — US-21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Proyecto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CanchaYa — Sistema de reserva de canchas sintéticas (Proyecto Informático 1, UAO, 2026-2)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Samuel Rios Calderón · Juan Esteban Panesso Bernal · Juan Sebastian Castillo Acevedo · Byron Stiven Zapata Zapata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Versión del documento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1.0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Fecha del análisis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27 de octubre de 2026, 11:41 p. m.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Versión analizada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rama cobertura-pruebas, commit 000f31c (más 58 archivos con cambios sin commit)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 global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Quality Gate APROBADO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Historia cubierta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US-21 · Integración de SonarQube y continuación de pruebas QA</w:t>
            </w:r>
          </w:p>
        </w:tc>
      </w:tr>
    </w:tbl>
    <w:p>
      <w:pPr>
        <w:spacing w:after="24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1. Resumen de la ejecución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Se analizó el código fuente del backend y del frontend con SonarQube (26.10.0.133078, edición Community), usando la misma configuración que el pipeline de CI/CD (sonar-project.properties y la cobertura de Jest y de Vitest). El análisis se ejecutó 4 veces: una línea base y otra tras corregir los hallazgos que el equipo decidió atender (14 de octubre), y dos más el 27 de octubre para medir y mejorar la cobertura de pruebas: el análisis 3 reveló que el frontend no tenía ninguna prueba y el análisis 4 midió el resultado tras añadirlas.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880"/>
      </w:tblGrid>
      <w:tr>
        <w:trPr>
          <w:cantSplit/>
          <w:tblHeader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58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Quality Gate final</w:t>
            </w:r>
          </w:p>
        </w:tc>
        <w:tc>
          <w:tcPr>
            <w:tcW w:type="dxa" w:w="58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APROBADO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Bugs / Vulnerabilidades</w:t>
            </w:r>
          </w:p>
        </w:tc>
        <w:tc>
          <w:tcPr>
            <w:tcW w:type="dxa" w:w="58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 / 0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Puntos críticos de seguridad</w:t>
            </w:r>
          </w:p>
        </w:tc>
        <w:tc>
          <w:tcPr>
            <w:tcW w:type="dxa" w:w="58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 (no hay puntos por revisar)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Code smells</w:t>
            </w:r>
          </w:p>
        </w:tc>
        <w:tc>
          <w:tcPr>
            <w:tcW w:type="dxa" w:w="58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 (deuda técnica 0 min)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Cobertura de pruebas (total)</w:t>
            </w:r>
          </w:p>
        </w:tc>
        <w:tc>
          <w:tcPr>
            <w:tcW w:type="dxa" w:w="58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93,2 % · backend 86,2 % y frontend 98,8 % de líneas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Cobertura del código nuevo</w:t>
            </w:r>
          </w:p>
        </w:tc>
        <w:tc>
          <w:tcPr>
            <w:tcW w:type="dxa" w:w="58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94,0 % (el Quality Gate exige al menos 80 %)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Duplicación</w:t>
            </w:r>
          </w:p>
        </w:tc>
        <w:tc>
          <w:tcPr>
            <w:tcW w:type="dxa" w:w="58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0,0 %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Pruebas que generaron la cobertura</w:t>
            </w:r>
          </w:p>
        </w:tc>
        <w:tc>
          <w:tcPr>
            <w:tcW w:type="dxa" w:w="58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Backend (Jest): 157 de 157 aprobadas (13 suites); frontend (Vitest): 147 pruebas en 9 archivos</w:t>
            </w:r>
          </w:p>
        </w:tc>
      </w:tr>
    </w:tbl>
    <w:p>
      <w:pPr>
        <w:spacing w:after="8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spacing w:after="100" w:before="0" w:line="27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Veredicto: </w:t>
      </w:r>
      <w:r>
        <w:rPr>
          <w:rFonts w:ascii="Arial" w:cs="Arial" w:eastAsia="Arial" w:hAnsi="Arial"/>
          <w:sz w:val="19"/>
          <w:szCs w:val="19"/>
        </w:rPr>
        <w:t xml:space="preserve">el código cumple el Quality Gate de SonarQube; no hay bugs, vulnerabilidades ni puntos críticos de seguridad pendientes que lo bloqueen.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2. Metodología y configuración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El análisis es estático: SonarQube lee el código sin ejecutarlo y aplica sus reglas de bugs, vulnerabilidades, puntos críticos de seguridad y mantenibilidad. La cobertura sí proviene de ejecutar las pruebas.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080"/>
      </w:tblGrid>
      <w:tr>
        <w:trPr>
          <w:cantSplit/>
          <w:tblHeader/>
        </w:trPr>
        <w:tc>
          <w:tcPr>
            <w:tcW w:type="dxa" w:w="3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Configuración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Servidor</w:t>
            </w:r>
          </w:p>
        </w:tc>
        <w:tc>
          <w:tcPr>
            <w:tcW w:type="dxa" w:w="7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SonarQube Community 26.10.0.133078 en un contenedor Docker local (sonarqube:community), sin datos previos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Scanner</w:t>
            </w:r>
          </w:p>
        </w:tc>
        <w:tc>
          <w:tcPr>
            <w:tcW w:type="dxa" w:w="7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sonarsource/sonar-scanner-cli en Docker, con el repositorio montado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Proyecto</w:t>
            </w:r>
          </w:p>
        </w:tc>
        <w:tc>
          <w:tcPr>
            <w:tcW w:type="dxa" w:w="7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canchaya (sonar-project.properties, versionado en el repositorio)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Fuentes analizadas</w:t>
            </w:r>
          </w:p>
        </w:tc>
        <w:tc>
          <w:tcPr>
            <w:tcW w:type="dxa" w:w="7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backend/src y frontend/src (se excluyen pruebas, node_modules, dist, coverage, public y backend/src/seed)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Cobertura</w:t>
            </w:r>
          </w:p>
        </w:tc>
        <w:tc>
          <w:tcPr>
            <w:tcW w:type="dxa" w:w="7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Backend: Jest con --coverage sobre un Postgres temporal. Frontend (desde el análisis 4): Vitest con --coverage (V8). Cada lcov se prefija con backend/ o frontend/ (scripts/ci/prefijar-lcov.mjs), igual que en el job quality-gate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Quality Gate</w:t>
            </w:r>
          </w:p>
        </w:tc>
        <w:tc>
          <w:tcPr>
            <w:tcW w:type="dxa" w:w="7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sin bugs ni vulnerabilidades nuevos, puntos críticos revisados, duplicación y cobertura sobre código nuevo según los umbrales del servidor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Espera del resultado</w:t>
            </w:r>
          </w:p>
        </w:tc>
        <w:tc>
          <w:tcPr>
            <w:tcW w:type="dxa" w:w="7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sonar.qualitygate.wait=true: el scanner termina con error si el Quality Gate falla (así se comporta en el pipeline)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Control de versiones</w:t>
            </w:r>
          </w:p>
        </w:tc>
        <w:tc>
          <w:tcPr>
            <w:tcW w:type="dxa" w:w="7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 deshabilitó el proveedor SCM (sonar.scm.disabled=true) porque el scanner corre en un contenedor sin el repositorio Git configurado</w:t>
            </w:r>
          </w:p>
        </w:tc>
      </w:tr>
    </w:tbl>
    <w:p>
      <w:pPr>
        <w:spacing w:after="8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spacing w:after="100" w:before="0" w:line="27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Comandos equivalentes a los del pipeline:</w:t>
      </w:r>
    </w:p>
    <w:p>
      <w:pPr>
        <w:spacing w:after="20" w:before="0" w:line="276"/>
      </w:pPr>
      <w:r>
        <w:rPr>
          <w:rFonts w:ascii="Consolas" w:cs="Consolas" w:eastAsia="Consolas" w:hAnsi="Consolas"/>
          <w:sz w:val="17"/>
          <w:szCs w:val="17"/>
        </w:rPr>
        <w:t xml:space="preserve">cd backend &amp;&amp; npm test -- --coverage           # genera backend/coverage/lcov.info</w:t>
      </w:r>
    </w:p>
    <w:p>
      <w:pPr>
        <w:spacing w:after="20" w:before="0" w:line="276"/>
      </w:pPr>
      <w:r>
        <w:rPr>
          <w:rFonts w:ascii="Consolas" w:cs="Consolas" w:eastAsia="Consolas" w:hAnsi="Consolas"/>
          <w:sz w:val="17"/>
          <w:szCs w:val="17"/>
        </w:rPr>
        <w:t xml:space="preserve">node scripts/ci/prefijar-lcov.mjs backend/coverage/lcov.info backend/coverage/lcov.sonar.info backend/</w:t>
      </w:r>
    </w:p>
    <w:p>
      <w:pPr>
        <w:spacing w:after="20" w:before="0" w:line="276"/>
      </w:pPr>
      <w:r>
        <w:rPr>
          <w:rFonts w:ascii="Consolas" w:cs="Consolas" w:eastAsia="Consolas" w:hAnsi="Consolas"/>
          <w:sz w:val="17"/>
          <w:szCs w:val="17"/>
        </w:rPr>
        <w:t xml:space="preserve">cd frontend &amp;&amp; npm run test:coverage          # genera frontend/coverage/lcov.info</w:t>
      </w:r>
    </w:p>
    <w:p>
      <w:pPr>
        <w:spacing w:after="20" w:before="0" w:line="276"/>
      </w:pPr>
      <w:r>
        <w:rPr>
          <w:rFonts w:ascii="Consolas" w:cs="Consolas" w:eastAsia="Consolas" w:hAnsi="Consolas"/>
          <w:sz w:val="17"/>
          <w:szCs w:val="17"/>
        </w:rPr>
        <w:t xml:space="preserve">node scripts/ci/prefijar-lcov.mjs frontend/coverage/lcov.info frontend/coverage/lcov.sonar.info frontend/</w:t>
      </w:r>
    </w:p>
    <w:p>
      <w:pPr>
        <w:spacing w:after="100" w:before="0" w:line="276"/>
      </w:pPr>
      <w:r>
        <w:rPr>
          <w:rFonts w:ascii="Consolas" w:cs="Consolas" w:eastAsia="Consolas" w:hAnsi="Consolas"/>
          <w:sz w:val="17"/>
          <w:szCs w:val="17"/>
        </w:rPr>
        <w:t xml:space="preserve">sonar-scanner -Dsonar.host.url=… -Dsonar.token=… -Dsonar.qualitygate.wait=true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3. Resultados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3.1 Quality Gate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Estado: APROBADO. Condiciones evaluadas por SonarQube: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000"/>
        <w:gridCol w:w="2400"/>
        <w:gridCol w:w="2280"/>
      </w:tblGrid>
      <w:tr>
        <w:trPr>
          <w:cantSplit/>
          <w:tblHeader/>
        </w:trPr>
        <w:tc>
          <w:tcPr>
            <w:tcW w:type="dxa" w:w="3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Condición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2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Valor obtenido</w:t>
            </w:r>
          </w:p>
        </w:tc>
        <w:tc>
          <w:tcPr>
            <w:tcW w:type="dxa" w:w="2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Falla si el valor es</w:t>
            </w:r>
          </w:p>
        </w:tc>
      </w:tr>
      <w:tr>
        <w:trPr>
          <w:cantSplit/>
          <w:tblHeader w:val="off"/>
        </w:trPr>
        <w:tc>
          <w:tcPr>
            <w:tcW w:type="dxa" w:w="3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new_coverage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APROBADO</w:t>
            </w:r>
          </w:p>
        </w:tc>
        <w:tc>
          <w:tcPr>
            <w:tcW w:type="dxa" w:w="2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94.0</w:t>
            </w:r>
          </w:p>
        </w:tc>
        <w:tc>
          <w:tcPr>
            <w:tcW w:type="dxa" w:w="2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&lt; 80</w:t>
            </w:r>
          </w:p>
        </w:tc>
      </w:tr>
      <w:tr>
        <w:trPr>
          <w:cantSplit/>
          <w:tblHeader w:val="off"/>
        </w:trPr>
        <w:tc>
          <w:tcPr>
            <w:tcW w:type="dxa" w:w="3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new_duplicated_lines_density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APROBADO</w:t>
            </w:r>
          </w:p>
        </w:tc>
        <w:tc>
          <w:tcPr>
            <w:tcW w:type="dxa" w:w="2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0.0</w:t>
            </w:r>
          </w:p>
        </w:tc>
        <w:tc>
          <w:tcPr>
            <w:tcW w:type="dxa" w:w="2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&gt; 3</w:t>
            </w:r>
          </w:p>
        </w:tc>
      </w:tr>
      <w:tr>
        <w:trPr>
          <w:cantSplit/>
          <w:tblHeader w:val="off"/>
        </w:trPr>
        <w:tc>
          <w:tcPr>
            <w:tcW w:type="dxa" w:w="3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new_violations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APROBADO</w:t>
            </w:r>
          </w:p>
        </w:tc>
        <w:tc>
          <w:tcPr>
            <w:tcW w:type="dxa" w:w="2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2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&gt; 0</w:t>
            </w:r>
          </w:p>
        </w:tc>
      </w:tr>
    </w:tbl>
    <w:p>
      <w:pPr>
        <w:spacing w:after="100" w:before="0" w:line="27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Cómo leer estas condiciones. </w:t>
      </w:r>
      <w:r>
        <w:rPr>
          <w:rFonts w:ascii="Arial" w:cs="Arial" w:eastAsia="Arial" w:hAnsi="Arial"/>
          <w:sz w:val="19"/>
          <w:szCs w:val="19"/>
        </w:rPr>
        <w:t xml:space="preserve">El Quality Gate por defecto de SonarQube (Sonar way) evalúa solo el código nuevo (new_*), es decir, lo cambiado desde la versión de referencia. En el análisis 2 el código nuevo era de solo unas pocas líneas y SonarQube ignoró la condición de cobertura (8,3 %) por la muestra tan pequeña. En el análisis 3 (27 de octubre) había 26 líneas nuevas por cubrir, todas del frontend, que no tenía ninguna prueba: la cobertura del código nuevo fue 23,1 % frente al mínimo de 80 % y el Quality Gate falló. Tras añadir las pruebas del frontend (análisis 4), la cobertura del código nuevo subió a 94,0 % sobre 35 líneas nuevas y el Quality Gate se aprobó. La cobertura total del proyecto pasó de 51,6 % a 93,2 % (sección 3.7).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3.2 Métricas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250"/>
        <w:gridCol w:w="1250"/>
        <w:gridCol w:w="1250"/>
        <w:gridCol w:w="1250"/>
        <w:gridCol w:w="2380"/>
      </w:tblGrid>
      <w:tr>
        <w:trPr>
          <w:cantSplit/>
          <w:tblHeader/>
        </w:trPr>
        <w:tc>
          <w:tcPr>
            <w:tcW w:type="dxa" w:w="2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Métrica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Análisis 1 (línea base)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Análisis 2 (hallazgos corregidos)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Análisis 3 (frontend sin pruebas)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Análisis 4 (final)</w:t>
            </w:r>
          </w:p>
        </w:tc>
        <w:tc>
          <w:tcPr>
            <w:tcW w:type="dxa" w:w="23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mide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Líneas de código (ncloc)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4.153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4.154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4.174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4.174</w:t>
            </w:r>
          </w:p>
        </w:tc>
        <w:tc>
          <w:tcPr>
            <w:tcW w:type="dxa" w:w="23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Líneas de código analizadas (backend y frontend)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Archivos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84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84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84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84</w:t>
            </w:r>
          </w:p>
        </w:tc>
        <w:tc>
          <w:tcPr>
            <w:tcW w:type="dxa" w:w="23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Archivos fuente analizados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Bugs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11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23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Errores probables en el comportamiento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Vulnerabilidades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23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Fallas explotables de seguridad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Puntos críticos de seguridad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23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Código sensible que requiere revisión manual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Code smells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23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Problemas de mantenibilidad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Deuda técnica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40 min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 min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 min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 min</w:t>
            </w:r>
          </w:p>
        </w:tc>
        <w:tc>
          <w:tcPr>
            <w:tcW w:type="dxa" w:w="23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Esfuerzo estimado para corregir los code smells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Cobertura de pruebas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51,7 %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51,7 %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51,6 %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93,2 %</w:t>
            </w:r>
          </w:p>
        </w:tc>
        <w:tc>
          <w:tcPr>
            <w:tcW w:type="dxa" w:w="23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Líneas y ramas cubiertas por las pruebas (Jest en el backend y, desde el análisis 4, Vitest en el frontend)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Cobertura de líneas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47,7 %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47,8 %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47,6 %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95,0 %</w:t>
            </w:r>
          </w:p>
        </w:tc>
        <w:tc>
          <w:tcPr>
            <w:tcW w:type="dxa" w:w="23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Solo líneas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Líneas por cubrir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1.435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1.436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1.444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2.901</w:t>
            </w:r>
          </w:p>
        </w:tc>
        <w:tc>
          <w:tcPr>
            <w:tcW w:type="dxa" w:w="23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Líneas ejecutables que las pruebas deberían recorrer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Líneas sin cubrir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750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750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757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146</w:t>
            </w:r>
          </w:p>
        </w:tc>
        <w:tc>
          <w:tcPr>
            <w:tcW w:type="dxa" w:w="23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Líneas que ninguna prueba ejecuta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Duplicación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0,0 %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0,0 %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0,0 %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0,0 %</w:t>
            </w:r>
          </w:p>
        </w:tc>
        <w:tc>
          <w:tcPr>
            <w:tcW w:type="dxa" w:w="23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Porcentaje de líneas duplicadas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Calificación de confiabilidad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</w:t>
            </w:r>
          </w:p>
        </w:tc>
        <w:tc>
          <w:tcPr>
            <w:tcW w:type="dxa" w:w="23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 = sin bugs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Calificación de seguridad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</w:t>
            </w:r>
          </w:p>
        </w:tc>
        <w:tc>
          <w:tcPr>
            <w:tcW w:type="dxa" w:w="23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 = sin vulnerabilidades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Calificación de mantenibilidad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</w:t>
            </w:r>
          </w:p>
        </w:tc>
        <w:tc>
          <w:tcPr>
            <w:tcW w:type="dxa" w:w="23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 = deuda técnica ≤ 5 % del esfuerzo de desarrollo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Complejidad ciclomática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707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707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720</w:t>
            </w:r>
          </w:p>
        </w:tc>
        <w:tc>
          <w:tcPr>
            <w:tcW w:type="dxa" w:w="12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720</w:t>
            </w:r>
          </w:p>
        </w:tc>
        <w:tc>
          <w:tcPr>
            <w:tcW w:type="dxa" w:w="23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Caminos independientes del código</w:t>
            </w:r>
          </w:p>
        </w:tc>
      </w:tr>
    </w:tbl>
    <w:p>
      <w:pPr>
        <w:spacing w:after="6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3.3 Hallazgos (issues) abiertos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80"/>
        <w:gridCol w:w="1320"/>
        <w:gridCol w:w="1320"/>
        <w:gridCol w:w="1320"/>
        <w:gridCol w:w="1320"/>
        <w:gridCol w:w="1320"/>
      </w:tblGrid>
      <w:tr>
        <w:trPr>
          <w:cantSplit/>
          <w:tblHeader/>
        </w:trPr>
        <w:tc>
          <w:tcPr>
            <w:tcW w:type="dxa" w:w="3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Análisis</w:t>
            </w:r>
          </w:p>
        </w:tc>
        <w:tc>
          <w:tcPr>
            <w:tcW w:type="dxa" w:w="132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Bloqueante</w:t>
            </w:r>
          </w:p>
        </w:tc>
        <w:tc>
          <w:tcPr>
            <w:tcW w:type="dxa" w:w="132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Crítica</w:t>
            </w:r>
          </w:p>
        </w:tc>
        <w:tc>
          <w:tcPr>
            <w:tcW w:type="dxa" w:w="132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Mayor</w:t>
            </w:r>
          </w:p>
        </w:tc>
        <w:tc>
          <w:tcPr>
            <w:tcW w:type="dxa" w:w="132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Menor</w:t>
            </w:r>
          </w:p>
        </w:tc>
        <w:tc>
          <w:tcPr>
            <w:tcW w:type="dxa" w:w="132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Info</w:t>
            </w:r>
          </w:p>
        </w:tc>
      </w:tr>
      <w:tr>
        <w:trPr>
          <w:cantSplit/>
          <w:tblHeader w:val="off"/>
        </w:trPr>
        <w:tc>
          <w:tcPr>
            <w:tcW w:type="dxa" w:w="3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Análisis 1 (línea base)</w:t>
            </w:r>
          </w:p>
        </w:tc>
        <w:tc>
          <w:tcPr>
            <w:tcW w:type="dxa" w:w="132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32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32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11</w:t>
            </w:r>
          </w:p>
        </w:tc>
        <w:tc>
          <w:tcPr>
            <w:tcW w:type="dxa" w:w="132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32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</w:tr>
      <w:tr>
        <w:trPr>
          <w:cantSplit/>
          <w:tblHeader w:val="off"/>
        </w:trPr>
        <w:tc>
          <w:tcPr>
            <w:tcW w:type="dxa" w:w="3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Análisis 2 (hallazgos corregidos)</w:t>
            </w:r>
          </w:p>
        </w:tc>
        <w:tc>
          <w:tcPr>
            <w:tcW w:type="dxa" w:w="132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32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32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32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32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</w:tr>
      <w:tr>
        <w:trPr>
          <w:cantSplit/>
          <w:tblHeader w:val="off"/>
        </w:trPr>
        <w:tc>
          <w:tcPr>
            <w:tcW w:type="dxa" w:w="3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Análisis 3 (frontend sin pruebas)</w:t>
            </w:r>
          </w:p>
        </w:tc>
        <w:tc>
          <w:tcPr>
            <w:tcW w:type="dxa" w:w="132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32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32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32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32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</w:tr>
      <w:tr>
        <w:trPr>
          <w:cantSplit/>
          <w:tblHeader w:val="off"/>
        </w:trPr>
        <w:tc>
          <w:tcPr>
            <w:tcW w:type="dxa" w:w="3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Análisis 4 (final)</w:t>
            </w:r>
          </w:p>
        </w:tc>
        <w:tc>
          <w:tcPr>
            <w:tcW w:type="dxa" w:w="132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32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32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32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32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</w:tr>
    </w:tbl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2F3B45"/>
          <w:sz w:val="21"/>
          <w:szCs w:val="21"/>
        </w:rPr>
        <w:t xml:space="preserve">Detalle del análisis 1 (línea base)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300"/>
        <w:gridCol w:w="2700"/>
        <w:gridCol w:w="3980"/>
      </w:tblGrid>
      <w:tr>
        <w:trPr>
          <w:cantSplit/>
          <w:tblHeader/>
        </w:trPr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Severidad</w:t>
            </w:r>
          </w:p>
        </w:tc>
        <w:tc>
          <w:tcPr>
            <w:tcW w:type="dxa" w:w="2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Regla</w:t>
            </w:r>
          </w:p>
        </w:tc>
        <w:tc>
          <w:tcPr>
            <w:tcW w:type="dxa" w:w="2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Ubicación</w:t>
            </w:r>
          </w:p>
        </w:tc>
        <w:tc>
          <w:tcPr>
            <w:tcW w:type="dxa" w:w="3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  <w:tblHeader w:val="off"/>
        </w:trPr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MINOR</w:t>
            </w:r>
          </w:p>
        </w:tc>
        <w:tc>
          <w:tcPr>
            <w:tcW w:type="dxa" w:w="2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javascript:S5689 — Web application technologies should not disclose version information</w:t>
            </w:r>
          </w:p>
        </w:tc>
        <w:tc>
          <w:tcPr>
            <w:tcW w:type="dxa" w:w="2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backend/src/app.js:9</w:t>
            </w:r>
          </w:p>
        </w:tc>
        <w:tc>
          <w:tcPr>
            <w:tcW w:type="dxa" w:w="3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This framework implicitly discloses version information by default. Make sure it is safe here.</w:t>
            </w:r>
          </w:p>
        </w:tc>
      </w:tr>
      <w:tr>
        <w:trPr>
          <w:cantSplit/>
          <w:tblHeader w:val="off"/>
        </w:trPr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BLOCKER</w:t>
            </w:r>
          </w:p>
        </w:tc>
        <w:tc>
          <w:tcPr>
            <w:tcW w:type="dxa" w:w="2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javascript:S2699 — Tests should include assertions</w:t>
            </w:r>
          </w:p>
        </w:tc>
        <w:tc>
          <w:tcPr>
            <w:tcW w:type="dxa" w:w="2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backend/tests/historialReservas.integration.test.js:10</w:t>
            </w:r>
          </w:p>
        </w:tc>
        <w:tc>
          <w:tcPr>
            <w:tcW w:type="dxa" w:w="3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Add at least one assertion to this test case.</w:t>
            </w:r>
          </w:p>
        </w:tc>
      </w:tr>
      <w:tr>
        <w:trPr>
          <w:cantSplit/>
          <w:tblHeader w:val="off"/>
        </w:trPr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BLOCKER</w:t>
            </w:r>
          </w:p>
        </w:tc>
        <w:tc>
          <w:tcPr>
            <w:tcW w:type="dxa" w:w="2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javascript:S2699 — Tests should include assertions</w:t>
            </w:r>
          </w:p>
        </w:tc>
        <w:tc>
          <w:tcPr>
            <w:tcW w:type="dxa" w:w="2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backend/tests/openapiContrato.integration.test.js:11</w:t>
            </w:r>
          </w:p>
        </w:tc>
        <w:tc>
          <w:tcPr>
            <w:tcW w:type="dxa" w:w="3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Add at least one assertion to this test case.</w:t>
            </w:r>
          </w:p>
        </w:tc>
      </w:tr>
      <w:tr>
        <w:trPr>
          <w:cantSplit/>
          <w:tblHeader w:val="off"/>
        </w:trPr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BLOCKER</w:t>
            </w:r>
          </w:p>
        </w:tc>
        <w:tc>
          <w:tcPr>
            <w:tcW w:type="dxa" w:w="2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javascript:S2699 — Tests should include assertions</w:t>
            </w:r>
          </w:p>
        </w:tc>
        <w:tc>
          <w:tcPr>
            <w:tcW w:type="dxa" w:w="2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backend/tests/reservasDuplicadas.integration.test.js:16</w:t>
            </w:r>
          </w:p>
        </w:tc>
        <w:tc>
          <w:tcPr>
            <w:tcW w:type="dxa" w:w="3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Add at least one assertion to this test case.</w:t>
            </w:r>
          </w:p>
        </w:tc>
      </w:tr>
      <w:tr>
        <w:trPr>
          <w:cantSplit/>
          <w:tblHeader w:val="off"/>
        </w:trPr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BLOCKER</w:t>
            </w:r>
          </w:p>
        </w:tc>
        <w:tc>
          <w:tcPr>
            <w:tcW w:type="dxa" w:w="2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javascript:S2699 — Tests should include assertions</w:t>
            </w:r>
          </w:p>
        </w:tc>
        <w:tc>
          <w:tcPr>
            <w:tcW w:type="dxa" w:w="2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backend/tests/reservasMultiples.integration.test.js:21</w:t>
            </w:r>
          </w:p>
        </w:tc>
        <w:tc>
          <w:tcPr>
            <w:tcW w:type="dxa" w:w="3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Add at least one assertion to this test case.</w:t>
            </w:r>
          </w:p>
        </w:tc>
      </w:tr>
      <w:tr>
        <w:trPr>
          <w:cantSplit/>
          <w:tblHeader w:val="off"/>
        </w:trPr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MAJOR</w:t>
            </w:r>
          </w:p>
        </w:tc>
        <w:tc>
          <w:tcPr>
            <w:tcW w:type="dxa" w:w="2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javascript:S9383 — Promises should not be left unhandled</w:t>
            </w:r>
          </w:p>
        </w:tc>
        <w:tc>
          <w:tcPr>
            <w:tcW w:type="dxa" w:w="2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frontend/src/components/layout/Navbar.jsx:20</w:t>
            </w:r>
          </w:p>
        </w:tc>
        <w:tc>
          <w:tcPr>
            <w:tcW w:type="dxa" w:w="3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Promises must be awaited, end with a call to .catch, end with a call to .then with a rejection handler or be explicitly marked as ignored with the `void` operator.</w:t>
            </w:r>
          </w:p>
        </w:tc>
      </w:tr>
      <w:tr>
        <w:trPr>
          <w:cantSplit/>
          <w:tblHeader w:val="off"/>
        </w:trPr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MAJOR</w:t>
            </w:r>
          </w:p>
        </w:tc>
        <w:tc>
          <w:tcPr>
            <w:tcW w:type="dxa" w:w="2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javascript:S9383 — Promises should not be left unhandled</w:t>
            </w:r>
          </w:p>
        </w:tc>
        <w:tc>
          <w:tcPr>
            <w:tcW w:type="dxa" w:w="2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frontend/src/pages/CanchaDetallePage.jsx:166</w:t>
            </w:r>
          </w:p>
        </w:tc>
        <w:tc>
          <w:tcPr>
            <w:tcW w:type="dxa" w:w="3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Promises must be awaited, end with a call to .catch, end with a call to .then with a rejection handler or be explicitly marked as ignored with the `void` operator.</w:t>
            </w:r>
          </w:p>
        </w:tc>
      </w:tr>
      <w:tr>
        <w:trPr>
          <w:cantSplit/>
          <w:tblHeader w:val="off"/>
        </w:trPr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MAJOR</w:t>
            </w:r>
          </w:p>
        </w:tc>
        <w:tc>
          <w:tcPr>
            <w:tcW w:type="dxa" w:w="2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javascript:S9383 — Promises should not be left unhandled</w:t>
            </w:r>
          </w:p>
        </w:tc>
        <w:tc>
          <w:tcPr>
            <w:tcW w:type="dxa" w:w="2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frontend/src/pages/CanchaDetallePage.jsx:219</w:t>
            </w:r>
          </w:p>
        </w:tc>
        <w:tc>
          <w:tcPr>
            <w:tcW w:type="dxa" w:w="3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Promises must be awaited, end with a call to .catch, end with a call to .then with a rejection handler or be explicitly marked as ignored with the `void` operator.</w:t>
            </w:r>
          </w:p>
        </w:tc>
      </w:tr>
      <w:tr>
        <w:trPr>
          <w:cantSplit/>
          <w:tblHeader w:val="off"/>
        </w:trPr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MAJOR</w:t>
            </w:r>
          </w:p>
        </w:tc>
        <w:tc>
          <w:tcPr>
            <w:tcW w:type="dxa" w:w="2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javascript:S9383 — Promises should not be left unhandled</w:t>
            </w:r>
          </w:p>
        </w:tc>
        <w:tc>
          <w:tcPr>
            <w:tcW w:type="dxa" w:w="2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frontend/src/pages/CanchaDetallePage.jsx:285</w:t>
            </w:r>
          </w:p>
        </w:tc>
        <w:tc>
          <w:tcPr>
            <w:tcW w:type="dxa" w:w="3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Promises must be awaited, end with a call to .catch, end with a call to .then with a rejection handler or be explicitly marked as ignored with the `void` operator.</w:t>
            </w:r>
          </w:p>
        </w:tc>
      </w:tr>
      <w:tr>
        <w:trPr>
          <w:cantSplit/>
          <w:tblHeader w:val="off"/>
        </w:trPr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MAJOR</w:t>
            </w:r>
          </w:p>
        </w:tc>
        <w:tc>
          <w:tcPr>
            <w:tcW w:type="dxa" w:w="2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javascript:S9383 — Promises should not be left unhandled</w:t>
            </w:r>
          </w:p>
        </w:tc>
        <w:tc>
          <w:tcPr>
            <w:tcW w:type="dxa" w:w="2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frontend/src/pages/CanchaDetallePage.jsx:292</w:t>
            </w:r>
          </w:p>
        </w:tc>
        <w:tc>
          <w:tcPr>
            <w:tcW w:type="dxa" w:w="3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Promises must be awaited, end with a call to .catch, end with a call to .then with a rejection handler or be explicitly marked as ignored with the `void` operator.</w:t>
            </w:r>
          </w:p>
        </w:tc>
      </w:tr>
      <w:tr>
        <w:trPr>
          <w:cantSplit/>
          <w:tblHeader w:val="off"/>
        </w:trPr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MAJOR</w:t>
            </w:r>
          </w:p>
        </w:tc>
        <w:tc>
          <w:tcPr>
            <w:tcW w:type="dxa" w:w="2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javascript:S9383 — Promises should not be left unhandled</w:t>
            </w:r>
          </w:p>
        </w:tc>
        <w:tc>
          <w:tcPr>
            <w:tcW w:type="dxa" w:w="2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frontend/src/pages/CanchaDetallePage.jsx:392</w:t>
            </w:r>
          </w:p>
        </w:tc>
        <w:tc>
          <w:tcPr>
            <w:tcW w:type="dxa" w:w="3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Promises must be awaited, end with a call to .catch, end with a call to .then with a rejection handler or be explicitly marked as ignored with the `void` operator.</w:t>
            </w:r>
          </w:p>
        </w:tc>
      </w:tr>
      <w:tr>
        <w:trPr>
          <w:cantSplit/>
          <w:tblHeader w:val="off"/>
        </w:trPr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MAJOR</w:t>
            </w:r>
          </w:p>
        </w:tc>
        <w:tc>
          <w:tcPr>
            <w:tcW w:type="dxa" w:w="2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javascript:S9383 — Promises should not be left unhandled</w:t>
            </w:r>
          </w:p>
        </w:tc>
        <w:tc>
          <w:tcPr>
            <w:tcW w:type="dxa" w:w="2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frontend/src/pages/CanchasListPage.jsx:34</w:t>
            </w:r>
          </w:p>
        </w:tc>
        <w:tc>
          <w:tcPr>
            <w:tcW w:type="dxa" w:w="3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Promises must be awaited, end with a call to .catch, end with a call to .then with a rejection handler or be explicitly marked as ignored with the `void` operator.</w:t>
            </w:r>
          </w:p>
        </w:tc>
      </w:tr>
      <w:tr>
        <w:trPr>
          <w:cantSplit/>
          <w:tblHeader w:val="off"/>
        </w:trPr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MAJOR</w:t>
            </w:r>
          </w:p>
        </w:tc>
        <w:tc>
          <w:tcPr>
            <w:tcW w:type="dxa" w:w="2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javascript:S9383 — Promises should not be left unhandled</w:t>
            </w:r>
          </w:p>
        </w:tc>
        <w:tc>
          <w:tcPr>
            <w:tcW w:type="dxa" w:w="2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frontend/src/pages/LoginPage.jsx:31</w:t>
            </w:r>
          </w:p>
        </w:tc>
        <w:tc>
          <w:tcPr>
            <w:tcW w:type="dxa" w:w="3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Promises must be awaited, end with a call to .catch, end with a call to .then with a rejection handler or be explicitly marked as ignored with the `void` operator.</w:t>
            </w:r>
          </w:p>
        </w:tc>
      </w:tr>
      <w:tr>
        <w:trPr>
          <w:cantSplit/>
          <w:tblHeader w:val="off"/>
        </w:trPr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MAJOR</w:t>
            </w:r>
          </w:p>
        </w:tc>
        <w:tc>
          <w:tcPr>
            <w:tcW w:type="dxa" w:w="2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javascript:S9383 — Promises should not be left unhandled</w:t>
            </w:r>
          </w:p>
        </w:tc>
        <w:tc>
          <w:tcPr>
            <w:tcW w:type="dxa" w:w="2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frontend/src/pages/MisReservasPage.jsx:67</w:t>
            </w:r>
          </w:p>
        </w:tc>
        <w:tc>
          <w:tcPr>
            <w:tcW w:type="dxa" w:w="3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Promises must be awaited, end with a call to .catch, end with a call to .then with a rejection handler or be explicitly marked as ignored with the `void` operator.</w:t>
            </w:r>
          </w:p>
        </w:tc>
      </w:tr>
      <w:tr>
        <w:trPr>
          <w:cantSplit/>
          <w:tblHeader w:val="off"/>
        </w:trPr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MAJOR</w:t>
            </w:r>
          </w:p>
        </w:tc>
        <w:tc>
          <w:tcPr>
            <w:tcW w:type="dxa" w:w="2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javascript:S9383 — Promises should not be left unhandled</w:t>
            </w:r>
          </w:p>
        </w:tc>
        <w:tc>
          <w:tcPr>
            <w:tcW w:type="dxa" w:w="2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frontend/src/pages/RegisterPage.jsx:27</w:t>
            </w:r>
          </w:p>
        </w:tc>
        <w:tc>
          <w:tcPr>
            <w:tcW w:type="dxa" w:w="3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Promises must be awaited, end with a call to .catch, end with a call to .then with a rejection handler or be explicitly marked as ignored with the `void` operator.</w:t>
            </w:r>
          </w:p>
        </w:tc>
      </w:tr>
      <w:tr>
        <w:trPr>
          <w:cantSplit/>
          <w:tblHeader w:val="off"/>
        </w:trPr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MAJOR</w:t>
            </w:r>
          </w:p>
        </w:tc>
        <w:tc>
          <w:tcPr>
            <w:tcW w:type="dxa" w:w="2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javascript:S9383 — Promises should not be left unhandled</w:t>
            </w:r>
          </w:p>
        </w:tc>
        <w:tc>
          <w:tcPr>
            <w:tcW w:type="dxa" w:w="2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frontend/src/pages/ResetPasswordPage.jsx:30</w:t>
            </w:r>
          </w:p>
        </w:tc>
        <w:tc>
          <w:tcPr>
            <w:tcW w:type="dxa" w:w="39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Promises must be awaited, end with a call to .catch, end with a call to .then with a rejection handler or be explicitly marked as ignored with the `void` operator.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3.4 Hallazgos corregidos entre el análisis 1 y el 2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Cada hallazgo se evaluó antes de corregirlo; solo se cambió código cuando el reporte señalaba un problema real o una mejora sin riesgo funcional. Tras los cambios se volvió a ejecutar toda la batería de pruebas.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600"/>
        <w:gridCol w:w="2700"/>
        <w:gridCol w:w="2780"/>
      </w:tblGrid>
      <w:tr>
        <w:trPr>
          <w:cantSplit/>
          <w:tblHeader/>
        </w:trPr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Regla</w:t>
            </w:r>
          </w:p>
        </w:tc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Ubicación</w:t>
            </w:r>
          </w:p>
        </w:tc>
        <w:tc>
          <w:tcPr>
            <w:tcW w:type="dxa" w:w="2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Problema</w:t>
            </w:r>
          </w:p>
        </w:tc>
        <w:tc>
          <w:tcPr>
            <w:tcW w:type="dxa" w:w="2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Corrección</w:t>
            </w:r>
          </w:p>
        </w:tc>
      </w:tr>
      <w:tr>
        <w:trPr>
          <w:cantSplit/>
          <w:tblHeader w:val="off"/>
        </w:trPr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javascript:S5689 (vulnerabilidad, menor)</w:t>
            </w:r>
          </w:p>
        </w:tc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backend/src/app.js:9</w:t>
            </w:r>
          </w:p>
        </w:tc>
        <w:tc>
          <w:tcPr>
            <w:tcW w:type="dxa" w:w="2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Express anuncia su tecnología en la cabecera X-Powered-By, lo que facilita a un atacante buscar vulnerabilidades de esa versión. La misma observación la había reportado la prueba NF-11.</w:t>
            </w:r>
          </w:p>
        </w:tc>
        <w:tc>
          <w:tcPr>
            <w:tcW w:type="dxa" w:w="2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app.disable('x-powered-by') al crear la aplicación.</w:t>
            </w:r>
          </w:p>
        </w:tc>
      </w:tr>
      <w:tr>
        <w:trPr>
          <w:cantSplit/>
          <w:tblHeader w:val="off"/>
        </w:trPr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javascript:S2699 (code smell, bloqueante)</w:t>
            </w:r>
          </w:p>
        </w:tc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backend/tests/*.integration.test.js (4 archivos)</w:t>
            </w:r>
          </w:p>
        </w:tc>
        <w:tc>
          <w:tcPr>
            <w:tcW w:type="dxa" w:w="2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marcador de «pruebas omitidas cuando no hay base de datos» era un it.skip con cuerpo vacío; SonarQube lo toma como una prueba sin aserciones. Es un falso positivo del análisis, pero dejaba un hallazgo bloqueante.</w:t>
            </w:r>
          </w:p>
        </w:tc>
        <w:tc>
          <w:tcPr>
            <w:tcW w:type="dxa" w:w="2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 reemplazó por it.todo(...), que declara la prueba pendiente sin cuerpo, con el mismo mensaje.</w:t>
            </w:r>
          </w:p>
        </w:tc>
      </w:tr>
      <w:tr>
        <w:trPr>
          <w:cantSplit/>
          <w:tblHeader w:val="off"/>
        </w:trPr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javascript:S9383 (bug, mayor)</w:t>
            </w:r>
          </w:p>
        </w:tc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frontend/src/components/layout/Navbar.jsx y 6 páginas (11 llamadas)</w:t>
            </w:r>
          </w:p>
        </w:tc>
        <w:tc>
          <w:tcPr>
            <w:tcW w:type="dxa" w:w="2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Llamadas a funciones asíncronas (cargarCancha, cargarOcupados, cargarReservas, cargarCanchas, recargarOcupados) y a navigate() sin await ni catch. Las funciones de carga ya capturan sus errores internamente, así que no había un fallo real, pero una promesa rechazada fuera de ese try/catch quedaría sin tratar.</w:t>
            </w:r>
          </w:p>
        </w:tc>
        <w:tc>
          <w:tcPr>
            <w:tcW w:type="dxa" w:w="2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 marcan explícitamente como ignoradas con el operador void, tal como indica la regla. No cambia el comportamiento.</w:t>
            </w:r>
          </w:p>
        </w:tc>
      </w:tr>
    </w:tbl>
    <w:p>
      <w:pPr>
        <w:spacing w:after="6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spacing w:after="100" w:before="0" w:line="27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Detalle del análisis 2 (hallazgos corregidos): SonarQube no reportó hallazgos abiertos.</w:t>
      </w:r>
    </w:p>
    <w:p>
      <w:pPr>
        <w:spacing w:after="100" w:before="0" w:line="27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Análisis 3 (frontend sin pruebas): SonarQube no reportó hallazgos abiertos.</w:t>
      </w:r>
    </w:p>
    <w:p>
      <w:pPr>
        <w:spacing w:after="100" w:before="0" w:line="27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Análisis 4 (final): SonarQube no reportó hallazgos abiertos.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3.5 Puntos críticos de seguridad (security hotspots)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SonarQube no marcó puntos críticos de seguridad en el código analizado.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3.6 Cobertura y calidad por archivo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Se listan los archivos con más líneas de código, con la cobertura de pruebas, los code smells y la duplicación de cada uno. Los archivos del frontend se cubren con las pruebas de Vitest (desde el análisis 4) y, además, con las pruebas E2E del documento 04.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100"/>
        <w:gridCol w:w="1500"/>
        <w:gridCol w:w="1500"/>
        <w:gridCol w:w="1580"/>
      </w:tblGrid>
      <w:tr>
        <w:trPr>
          <w:cantSplit/>
          <w:tblHeader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Archivo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Líneas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Cobertura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Code smells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Duplicación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frontend/src/pages/CanchaDetallePage.jsx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696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95,5 %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frontend/src/pages/MisReservasPage.jsx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216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98,7 %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frontend/src/components/common/Icono.jsx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148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99,2 %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backend/src/services/temporizadorReservaService.js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139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92,0 %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backend/src/services/retencionService.js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129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92,4 %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backend/src/repositories/reservaRepository.js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124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86,0 %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backend/src/services/reservaService.js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124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95,7 %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frontend/src/pages/CanchasListPage.jsx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118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100,0 %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backend/src/sockets/temporizadorSocket.js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115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93,3 %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frontend/src/pages/RegisterPage.jsx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102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100,0 %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backend/src/repositories/canchaRepository.js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99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24,7 %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frontend/src/components/canchas/FiltroCanchas.jsx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84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100,0 %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frontend/src/pages/LoginPage.jsx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82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100,0 %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frontend/src/pages/ResetPasswordPage.jsx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82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100,0 %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frontend/src/components/canchas/TemporizadorReserva.jsx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78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100,0 %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frontend/src/hooks/useTemporizadorReserva.js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77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99,2 %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backend/src/repositories/retencionRepository.js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72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39,1 %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backend/src/services/authService.js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71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88,2 %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frontend/src/components/layout/Navbar.jsx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65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100,0 %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backend/src/services/emailService.js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63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74,2 %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frontend/src/pages/ForgotPasswordPage.jsx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57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100,0 %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frontend/src/router/AppRouter.jsx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53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100,0 %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frontend/src/components/canchas/CanchaCard.jsx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53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100,0 %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backend/src/services/canchaService.js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53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83,3 %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frontend/src/components/canchas/ConfirmacionReserva.jsx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53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100,0 %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backend/src/repositories/sesionReservaRepository.js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50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13,3 %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backend/src/utils/validators/reservaValidators.js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49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100,0 %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backend/src/controllers/reservaController.js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48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91,3 %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backend/src/routes/canchaRoutes.js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47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100,0 %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backend/src/controllers/authController.js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44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92,0 %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backend/src/models/Reserva.js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41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88,9 %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frontend/src/context/AuthContext.jsx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38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100,0 %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backend/src/repositories/horarioRepository.js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38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29,4 %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backend/src/controllers/canchaController.js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37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86,2 %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backend/src/repositories/usuarioRepository.js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37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81,8 %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backend/src/repositories/passwordResetRepository.js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34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88,9 %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frontend/src/components/layout/AuthLayout.jsx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33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100,0 %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backend/src/config/documentacion.js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33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89,3 %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backend/src/utils/validators/authValidators.js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29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100,0 %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frontend/src/api/axiosClient.js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29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97,4 %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backend/src/utils/validators/canchaValidators.js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29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100,0 %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frontend/src/components/layout/Footer.jsx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29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100,0 %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backend/src/config/corsOrigin.js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25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93,1 %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backend/src/config/env.js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25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68,6 %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44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backend/src/app.js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24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91,3 %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3.7 Cobertura de pruebas: evolución y estado final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Cobertura del análisis 4 (final), por área. La cobertura de líneas cuenta solo líneas; la combinada suma también las ramas de decisión, que es la cifra que reporta SonarQube como cobertura total.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100"/>
        <w:gridCol w:w="1550"/>
        <w:gridCol w:w="1550"/>
        <w:gridCol w:w="1790"/>
        <w:gridCol w:w="1790"/>
      </w:tblGrid>
      <w:tr>
        <w:trPr>
          <w:cantSplit/>
          <w:tblHeader/>
        </w:trPr>
        <w:tc>
          <w:tcPr>
            <w:tcW w:type="dxa" w:w="2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Área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Archivos</w:t>
            </w:r>
          </w:p>
        </w:tc>
        <w:tc>
          <w:tcPr>
            <w:tcW w:type="dxa" w:w="15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Líneas por cubrir</w:t>
            </w:r>
          </w:p>
        </w:tc>
        <w:tc>
          <w:tcPr>
            <w:tcW w:type="dxa" w:w="15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Líneas sin cubrir</w:t>
            </w:r>
          </w:p>
        </w:tc>
        <w:tc>
          <w:tcPr>
            <w:tcW w:type="dxa" w:w="179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Cobertura de líneas</w:t>
            </w:r>
          </w:p>
        </w:tc>
        <w:tc>
          <w:tcPr>
            <w:tcW w:type="dxa" w:w="179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Cobertura combinada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Backend (Jest)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51</w:t>
            </w:r>
          </w:p>
        </w:tc>
        <w:tc>
          <w:tcPr>
            <w:tcW w:type="dxa" w:w="15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882</w:t>
            </w:r>
          </w:p>
        </w:tc>
        <w:tc>
          <w:tcPr>
            <w:tcW w:type="dxa" w:w="15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122</w:t>
            </w:r>
          </w:p>
        </w:tc>
        <w:tc>
          <w:tcPr>
            <w:tcW w:type="dxa" w:w="179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86,2 %</w:t>
            </w:r>
          </w:p>
        </w:tc>
        <w:tc>
          <w:tcPr>
            <w:tcW w:type="dxa" w:w="179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82,8 %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Frontend (Vitest)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30</w:t>
            </w:r>
          </w:p>
        </w:tc>
        <w:tc>
          <w:tcPr>
            <w:tcW w:type="dxa" w:w="15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2.019</w:t>
            </w:r>
          </w:p>
        </w:tc>
        <w:tc>
          <w:tcPr>
            <w:tcW w:type="dxa" w:w="15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24</w:t>
            </w:r>
          </w:p>
        </w:tc>
        <w:tc>
          <w:tcPr>
            <w:tcW w:type="dxa" w:w="179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98,8 %</w:t>
            </w:r>
          </w:p>
        </w:tc>
        <w:tc>
          <w:tcPr>
            <w:tcW w:type="dxa" w:w="179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98,2 %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Total del proyecto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81</w:t>
            </w:r>
          </w:p>
        </w:tc>
        <w:tc>
          <w:tcPr>
            <w:tcW w:type="dxa" w:w="15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2.901</w:t>
            </w:r>
          </w:p>
        </w:tc>
        <w:tc>
          <w:tcPr>
            <w:tcW w:type="dxa" w:w="15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146</w:t>
            </w:r>
          </w:p>
        </w:tc>
        <w:tc>
          <w:tcPr>
            <w:tcW w:type="dxa" w:w="179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95,0 %</w:t>
            </w:r>
          </w:p>
        </w:tc>
        <w:tc>
          <w:tcPr>
            <w:tcW w:type="dxa" w:w="179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93,2 %</w:t>
            </w:r>
          </w:p>
        </w:tc>
      </w:tr>
    </w:tbl>
    <w:p>
      <w:pPr>
        <w:spacing w:after="8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spacing w:after="100" w:before="0" w:line="27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Evolución entre los análisis: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900"/>
        <w:gridCol w:w="1650"/>
        <w:gridCol w:w="1850"/>
        <w:gridCol w:w="1780"/>
      </w:tblGrid>
      <w:tr>
        <w:trPr>
          <w:cantSplit/>
          <w:tblHeader/>
        </w:trPr>
        <w:tc>
          <w:tcPr>
            <w:tcW w:type="dxa" w:w="2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Análisis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16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Cobertura total</w:t>
            </w:r>
          </w:p>
        </w:tc>
        <w:tc>
          <w:tcPr>
            <w:tcW w:type="dxa" w:w="18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Cobertura del código nuevo</w:t>
            </w:r>
          </w:p>
        </w:tc>
        <w:tc>
          <w:tcPr>
            <w:tcW w:type="dxa" w:w="1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Quality Gate</w:t>
            </w:r>
          </w:p>
        </w:tc>
      </w:tr>
      <w:tr>
        <w:trPr>
          <w:cantSplit/>
          <w:tblHeader w:val="off"/>
        </w:trPr>
        <w:tc>
          <w:tcPr>
            <w:tcW w:type="dxa" w:w="2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Análisis 1 (línea base)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14 de octubre de 2026</w:t>
            </w:r>
          </w:p>
        </w:tc>
        <w:tc>
          <w:tcPr>
            <w:tcW w:type="dxa" w:w="16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51,7 %</w:t>
            </w:r>
          </w:p>
        </w:tc>
        <w:tc>
          <w:tcPr>
            <w:tcW w:type="dxa" w:w="18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  <w:tc>
          <w:tcPr>
            <w:tcW w:type="dxa" w:w="1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APROBADO</w:t>
            </w:r>
          </w:p>
        </w:tc>
      </w:tr>
      <w:tr>
        <w:trPr>
          <w:cantSplit/>
          <w:tblHeader w:val="off"/>
        </w:trPr>
        <w:tc>
          <w:tcPr>
            <w:tcW w:type="dxa" w:w="2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Análisis 2 (hallazgos corregidos)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14 de octubre de 2026</w:t>
            </w:r>
          </w:p>
        </w:tc>
        <w:tc>
          <w:tcPr>
            <w:tcW w:type="dxa" w:w="16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51,7 %</w:t>
            </w:r>
          </w:p>
        </w:tc>
        <w:tc>
          <w:tcPr>
            <w:tcW w:type="dxa" w:w="18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8,3 %</w:t>
            </w:r>
          </w:p>
        </w:tc>
        <w:tc>
          <w:tcPr>
            <w:tcW w:type="dxa" w:w="1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APROBADO</w:t>
            </w:r>
          </w:p>
        </w:tc>
      </w:tr>
      <w:tr>
        <w:trPr>
          <w:cantSplit/>
          <w:tblHeader w:val="off"/>
        </w:trPr>
        <w:tc>
          <w:tcPr>
            <w:tcW w:type="dxa" w:w="2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Análisis 3 (frontend sin pruebas)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27 de octubre de 2026</w:t>
            </w:r>
          </w:p>
        </w:tc>
        <w:tc>
          <w:tcPr>
            <w:tcW w:type="dxa" w:w="16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51,6 %</w:t>
            </w:r>
          </w:p>
        </w:tc>
        <w:tc>
          <w:tcPr>
            <w:tcW w:type="dxa" w:w="18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23,1 %</w:t>
            </w:r>
          </w:p>
        </w:tc>
        <w:tc>
          <w:tcPr>
            <w:tcW w:type="dxa" w:w="1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FDECE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FALLIDO</w:t>
            </w:r>
          </w:p>
        </w:tc>
      </w:tr>
      <w:tr>
        <w:trPr>
          <w:cantSplit/>
          <w:tblHeader w:val="off"/>
        </w:trPr>
        <w:tc>
          <w:tcPr>
            <w:tcW w:type="dxa" w:w="2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Análisis 4 (final)</w:t>
            </w:r>
          </w:p>
        </w:tc>
        <w:tc>
          <w:tcPr>
            <w:tcW w:type="dxa" w:w="1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27 de octubre de 2026</w:t>
            </w:r>
          </w:p>
        </w:tc>
        <w:tc>
          <w:tcPr>
            <w:tcW w:type="dxa" w:w="16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93,2 %</w:t>
            </w:r>
          </w:p>
        </w:tc>
        <w:tc>
          <w:tcPr>
            <w:tcW w:type="dxa" w:w="18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right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94,0 %</w:t>
            </w:r>
          </w:p>
        </w:tc>
        <w:tc>
          <w:tcPr>
            <w:tcW w:type="dxa" w:w="17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APROBADO</w:t>
            </w:r>
          </w:p>
        </w:tc>
      </w:tr>
    </w:tbl>
    <w:p>
      <w:pPr>
        <w:spacing w:after="8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spacing w:after="100" w:before="0" w:line="27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Qué se hizo para subir la cobertura: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19"/>
          <w:szCs w:val="19"/>
        </w:rPr>
        <w:t xml:space="preserve">El frontend no tenía ninguna prueba automática: sus 562 líneas por cubrir figuraban sin cubrir (0 %). Se añadió Vitest con Testing Library y 147 pruebas en 9 archivos: autenticación, rutas protegidas, listado de canchas, detalle de la cancha con el flujo completo de reserva, historial «Mis reservas», temporizador, hook del socket y router.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19"/>
          <w:szCs w:val="19"/>
        </w:rPr>
        <w:t xml:space="preserve">El socket de reservas del backend (temporizadorSocket.js, 74 líneas) no tenía pruebas. Se añadieron 16 pruebas con un servidor Socket.IO real: conexión y autenticación, retención de franjas, avisos en tiempo real a los demás usuarios, reinicio del temporizador y manejo de errores.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19"/>
          <w:szCs w:val="19"/>
        </w:rPr>
        <w:t xml:space="preserve">El pipeline ahora ejecuta las pruebas del frontend con cobertura (npm run test:coverage), publica su reporte lcov y el job de SonarQube lo descarga junto con el del backend. Antes recibía un reporte vacío para el frontend.</w:t>
      </w:r>
    </w:p>
    <w:p>
      <w:pPr>
        <w:spacing w:after="4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spacing w:after="100" w:before="0" w:line="27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Pendientes y recomendaciones: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19"/>
          <w:szCs w:val="19"/>
        </w:rPr>
        <w:t xml:space="preserve">Los repositorios de acceso a datos (canchaRepository, horarioRepository, retencionRepository, sesionReservaRepository) son lo menos cubierto del backend; hoy solo los ejercitan las pruebas de integración. Conviene añadir pruebas unitarias con el cliente de base de datos simulado.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  <w:sz w:val="19"/>
          <w:szCs w:val="19"/>
        </w:rPr>
        <w:t xml:space="preserve">Los archivos de apoyo de pruebas en backend/src/repositories/__mocks__ se cuentan como código fuente. Excluirlos en sonar.exclusions evitaría líneas sin cubrir que no son código de producción.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4. Evidencias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895975" cy="4095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  <w:jc w:val="center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Figura 1. Análisis 4 (final): Tablero del proyecto: Quality Gate y métricas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895975" cy="40957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  <w:jc w:val="center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Figura 2. Análisis 4 (final): Hallazgos (issues) abiertos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895975" cy="40957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  <w:jc w:val="center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Figura 3. Análisis 4 (final): Puntos críticos de seguridad (security hotspots)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895975" cy="409575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  <w:jc w:val="center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Figura 4. Análisis 4 (final): Cobertura de pruebas por archivo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895975" cy="40957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  <w:jc w:val="center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Figura 5. Análisis 4 (final): Estructura del código analizado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895975" cy="409575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  <w:jc w:val="center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Figura 6. Anexo, análisis 3 (intermedio, 27 de octubre, ANTES de añadir las pruebas del frontend; no es el resultado final): Quality Gate fallido, la cobertura del código nuevo fue 23,1 % frente al mínimo de 80 %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5. Integración con el pipeline (US-20 y US-21)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080"/>
      </w:tblGrid>
      <w:tr>
        <w:trPr>
          <w:cantSplit/>
          <w:tblHeader/>
        </w:trPr>
        <w:tc>
          <w:tcPr>
            <w:tcW w:type="dxa" w:w="3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Job "SonarQube Quality Gate"</w:t>
            </w:r>
          </w:p>
        </w:tc>
        <w:tc>
          <w:tcPr>
            <w:tcW w:type="dxa" w:w="7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Definido en .github/workflows/ci-cd.yml: depende de backend y frontend, descarga los reportes lcov de ambos (el del frontend lo genera el job del frontend con npm run test:coverage) y ejecuta sonarqube-scan-action con sonar.qualitygate.wait=true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Dependencia del job de Docker</w:t>
            </w:r>
          </w:p>
        </w:tc>
        <w:tc>
          <w:tcPr>
            <w:tcW w:type="dxa" w:w="7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construcción de Docker espera al Quality Gate: un código que no pasa el gate no se despliega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Secretos necesarios</w:t>
            </w:r>
          </w:p>
        </w:tc>
        <w:tc>
          <w:tcPr>
            <w:tcW w:type="dxa" w:w="7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SONAR_TOKEN (secreto del repositorio) y SONAR_HOST_URL (variable del repositorio), configurados en GitHub → Settings → Secrets and variables → Actions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Servidor apagado o sin configurar</w:t>
            </w:r>
          </w:p>
        </w:tc>
        <w:tc>
          <w:tcPr>
            <w:tcW w:type="dxa" w:w="7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primer paso del job consulta /api/server/version. Si el servidor no responde (por ejemplo, un túnel de ngrok cerrado) o faltan la variable o el secreto, el análisis se omite con un aviso en el resumen de la ejecución y el pipeline continúa; si responde, el Quality Gate sigue siendo obligatorio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Verificación automática</w:t>
            </w:r>
          </w:p>
        </w:tc>
        <w:tc>
          <w:tcPr>
            <w:tcW w:type="dxa" w:w="7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Los casos SD-15 y SD-24 del documento 05 revisan que la configuración y el job existan</w:t>
            </w:r>
          </w:p>
        </w:tc>
      </w:tr>
    </w:tbl>
    <w:p>
      <w:pPr>
        <w:spacing w:after="6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spacing w:after="100" w:before="0" w:line="27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Importante: </w:t>
      </w:r>
      <w:r>
        <w:rPr>
          <w:rFonts w:ascii="Arial" w:cs="Arial" w:eastAsia="Arial" w:hAnsi="Arial"/>
          <w:sz w:val="19"/>
          <w:szCs w:val="19"/>
        </w:rPr>
        <w:t xml:space="preserve">este análisis se hizo contra un SonarQube local descartable, porque el servidor del equipo no es accesible desde este entorno. Los resultados reflejan el mismo código y las mismas reglas, pero el panel oficial del equipo (y su historial) se genera cuando el pipeline corre con el servidor real.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6. Conclusión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El Quality Gate quedó aprobado con 0 bugs, 0 vulnerabilidades y 0 puntos críticos de seguridad. La cobertura de pruebas total es 93,2 % (backend 86,2 % y frontend 98,8 % de líneas, con una cobertura del código nuevo de 94,0 %) y la duplicación 0,0 %. Quedan 0 hallazgos de mantenibilidad abiertos.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Criterios de aceptación de US-21 cubiertos: 5.</w:t>
      </w:r>
    </w:p>
    <w:sectPr>
      <w:headerReference w:type="default" r:id="rId6"/>
      <w:footerReference w:type="default" r:id="rId7"/>
      <w:pgSz w:w="12240" w:h="15840" w:orient="portrait"/>
      <w:pgMar w:top="1200" w:right="1080" w:bottom="11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770"/>
        <w:sz w:val="16"/>
        <w:szCs w:val="16"/>
      </w:rPr>
      <w:t xml:space="preserve">Página </w:t>
    </w:r>
    <w:r>
      <w:rPr>
        <w:rFonts w:ascii="Arial" w:cs="Arial" w:eastAsia="Arial" w:hAnsi="Arial"/>
        <w:color w:val="5B677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770"/>
        <w:sz w:val="16"/>
        <w:szCs w:val="16"/>
      </w:rPr>
      <w:t xml:space="preserve"> de </w:t>
    </w:r>
    <w:r>
      <w:rPr>
        <w:rFonts w:ascii="Arial" w:cs="Arial" w:eastAsia="Arial" w:hAnsi="Arial"/>
        <w:color w:val="5B677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5CDD3" w:sz="4" w:space="4"/>
      </w:pBdr>
    </w:pPr>
    <w:r>
      <w:rPr>
        <w:rFonts w:ascii="Arial" w:cs="Arial" w:eastAsia="Arial" w:hAnsi="Arial"/>
        <w:color w:val="5B6770"/>
        <w:sz w:val="16"/>
        <w:szCs w:val="16"/>
      </w:rPr>
      <w:t xml:space="preserve">CanchaYa · Resultados del Análisis con SonarQube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A3D2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0A3D2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2F3B45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fa125add3295bd55ee80abfee5d9682560066ea.jpg"/><Relationship Id="rId10" Type="http://schemas.openxmlformats.org/officeDocument/2006/relationships/image" Target="media/600bccf22fbc1438ed81b8ad8dd1b1e4947b8ebb.jpg"/><Relationship Id="rId11" Type="http://schemas.openxmlformats.org/officeDocument/2006/relationships/image" Target="media/4959fb3969dd6f9742c6ca4eaad8fd7e0c4916ce.jpg"/><Relationship Id="rId12" Type="http://schemas.openxmlformats.org/officeDocument/2006/relationships/image" Target="media/30fa73a33e19a477a8c1a924014ea54931e194c9.jpg"/><Relationship Id="rId13" Type="http://schemas.openxmlformats.org/officeDocument/2006/relationships/image" Target="media/55037ecdcb6bd2a7ac9f0056069524b697821446.jpg"/><Relationship Id="rId14" Type="http://schemas.openxmlformats.org/officeDocument/2006/relationships/image" Target="media/5d132cd4226f4cfcc690c825ef15038b0a795806.jp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Resultados del Análisis con SonarQube - CanchaYa</dc:title>
  <dc:creator>Equipo CanchaYa</dc:creator>
  <cp:lastModifiedBy>Un-named</cp:lastModifiedBy>
  <cp:revision>1</cp:revision>
  <dcterms:created xsi:type="dcterms:W3CDTF">2026-10-28T08:14:25.473Z</dcterms:created>
  <dcterms:modified xsi:type="dcterms:W3CDTF">2026-10-28T08:14:25.473Z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