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0A3D2A"/>
          <w:sz w:val="56"/>
          <w:szCs w:val="56"/>
        </w:rPr>
        <w:t xml:space="preserve">CanchaYa</w:t>
      </w:r>
    </w:p>
    <w:p>
      <w:pPr>
        <w:pBdr>
          <w:bottom w:val="single" w:color="A3E635" w:sz="12" w:space="6"/>
        </w:pBdr>
        <w:spacing w:after="360"/>
      </w:pPr>
      <w:r>
        <w:rPr>
          <w:rFonts w:ascii="Arial" w:cs="Arial" w:eastAsia="Arial" w:hAnsi="Arial"/>
          <w:color w:val="5B6770"/>
          <w:sz w:val="24"/>
          <w:szCs w:val="24"/>
        </w:rPr>
        <w:t xml:space="preserve">Sistema de reserva de canchas sintéticas</w:t>
      </w:r>
    </w:p>
    <w:p>
      <w:pPr>
        <w:spacing w:after="80" w:before="240"/>
      </w:pPr>
      <w:r>
        <w:rPr>
          <w:rFonts w:ascii="Arial" w:cs="Arial" w:eastAsia="Arial" w:hAnsi="Arial"/>
          <w:b/>
          <w:bCs/>
          <w:color w:val="1F2933"/>
          <w:sz w:val="40"/>
          <w:szCs w:val="40"/>
        </w:rPr>
        <w:t xml:space="preserve">Resultados del Análisis con SonarQube</w:t>
      </w:r>
    </w:p>
    <w:p>
      <w:pPr>
        <w:spacing w:after="320"/>
      </w:pPr>
      <w:r>
        <w:rPr>
          <w:rFonts w:ascii="Arial" w:cs="Arial" w:eastAsia="Arial" w:hAnsi="Arial"/>
          <w:color w:val="5B6770"/>
          <w:sz w:val="24"/>
          <w:szCs w:val="24"/>
        </w:rPr>
        <w:t xml:space="preserve">Calidad estática del código — US-21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Proyecto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 Sistema de reserva de canchas sintéticas (Proyecto Informático 1, UAO, 2026-2)</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Equipo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Samuel Rios Calderón · Juan Esteban Panesso Bernal · Juan Sebastian Castillo Acevedo · Byron Stiven Zapata Zapata</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Fecha del análisis</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14 de octubre de 2026, 12:48 a. m.</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analizada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sprint_4, commit d1ed711 (más 145 archivos con cambios sin commit)</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Resultado global</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Quality Gate APROBADO</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Historia cubierta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US-21 · Integración de SonarQube y continuación de pruebas QA</w:t>
            </w:r>
          </w:p>
        </w:tc>
      </w:tr>
    </w:tbl>
    <w:p>
      <w:pPr>
        <w:spacing w:after="24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1. Resumen de la ejecución</w:t>
      </w:r>
    </w:p>
    <w:p>
      <w:pPr>
        <w:spacing w:after="100" w:before="0" w:line="276"/>
      </w:pPr>
      <w:r>
        <w:rPr>
          <w:rFonts w:ascii="Arial" w:cs="Arial" w:eastAsia="Arial" w:hAnsi="Arial"/>
          <w:sz w:val="19"/>
          <w:szCs w:val="19"/>
        </w:rPr>
        <w:t xml:space="preserve">Se analizó el código fuente del backend y del frontend con SonarQube (26.10.0.133078, edición Community), usando la misma configuración que el pipeline de CI/CD (sonar-project.properties y la cobertura de Jest). El análisis se ejecutó dos veces: una línea base y otra después de corregir los hallazgos que el equipo decidió atender.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c>
          <w:tcPr>
            <w:tcW w:type="dxa" w:w="58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Detalle</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Quality Gate final</w:t>
            </w:r>
          </w:p>
        </w:tc>
        <w:tc>
          <w:tcPr>
            <w:tcW w:type="dxa" w:w="588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APROBADO</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Bugs / Vulnerabilidades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 / 0</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Puntos críticos de seguridad</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 (no hay puntos por revisar)</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Code smells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 (deuda técnica 0 min)</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Cobertura de pruebas del backend</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51.7 %</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Duplicación</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0.0 %</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Jest que generaron la cobertura</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140 de 140 aprobadas (12 suites)</w:t>
            </w:r>
          </w:p>
        </w:tc>
      </w:tr>
    </w:tbl>
    <w:p>
      <w:pPr>
        <w:spacing w:after="80" w:before="0" w:line="276"/>
      </w:pPr>
      <w:r>
        <w:rPr>
          <w:rFonts w:ascii="Arial" w:cs="Arial" w:eastAsia="Arial" w:hAnsi="Arial"/>
          <w:sz w:val="19"/>
          <w:szCs w:val="19"/>
        </w:rPr>
        <w:t xml:space="preserve"/>
      </w:r>
    </w:p>
    <w:p>
      <w:pPr>
        <w:spacing w:after="100" w:before="0" w:line="276"/>
      </w:pPr>
      <w:r>
        <w:rPr>
          <w:rFonts w:ascii="Arial" w:cs="Arial" w:eastAsia="Arial" w:hAnsi="Arial"/>
          <w:b/>
          <w:bCs/>
          <w:sz w:val="19"/>
          <w:szCs w:val="19"/>
        </w:rPr>
        <w:t xml:space="preserve">Veredicto: </w:t>
      </w:r>
      <w:r>
        <w:rPr>
          <w:rFonts w:ascii="Arial" w:cs="Arial" w:eastAsia="Arial" w:hAnsi="Arial"/>
          <w:sz w:val="19"/>
          <w:szCs w:val="19"/>
        </w:rPr>
        <w:t xml:space="preserve">el código cumple el Quality Gate de SonarQube; no hay bugs, vulnerabilidades ni puntos críticos de seguridad pendientes que lo bloqueen.</w:t>
      </w:r>
    </w:p>
    <w:p>
      <w:pPr>
        <w:pStyle w:val="Heading1"/>
        <w:spacing w:after="160" w:before="360"/>
      </w:pPr>
      <w:r>
        <w:rPr>
          <w:rFonts w:ascii="Arial" w:cs="Arial" w:eastAsia="Arial" w:hAnsi="Arial"/>
          <w:b/>
          <w:bCs/>
          <w:color w:val="0A3D2A"/>
          <w:sz w:val="30"/>
          <w:szCs w:val="30"/>
        </w:rPr>
        <w:t xml:space="preserve">2. Metodología y configuración</w:t>
      </w:r>
    </w:p>
    <w:p>
      <w:pPr>
        <w:spacing w:after="100" w:before="0" w:line="276"/>
      </w:pPr>
      <w:r>
        <w:rPr>
          <w:rFonts w:ascii="Arial" w:cs="Arial" w:eastAsia="Arial" w:hAnsi="Arial"/>
          <w:sz w:val="19"/>
          <w:szCs w:val="19"/>
        </w:rPr>
        <w:t xml:space="preserve">El análisis es estático: SonarQube lee el código sin ejecutarlo y aplica sus reglas de bugs, vulnerabilidades, puntos críticos de seguridad y mantenibilidad. La cobertura sí proviene de ejecutar las pruebas.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Elemento</w:t>
            </w:r>
          </w:p>
        </w:tc>
        <w:tc>
          <w:tcPr>
            <w:tcW w:type="dxa" w:w="7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Configuración</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Servidor</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SonarQube Community 26.10.0.133078 en un contenedor Docker local (sonarqube:community), sin datos previos</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Scanner</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sonarsource/sonar-scanner-cli en Docker, con el repositorio montado</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Proyecto</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(sonar-project.properties, versionado en el repositorio)</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Fuentes analizadas</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 y frontend/src (se excluyen pruebas, node_modules, dist, coverage, public y backend/src/seed)</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Cobertura</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 con --coverage sobre un Postgres temporal; el lcov se prefija con backend/ (scripts/ci/prefijar-lcov.mjs) igual que en el job quality-gate. El frontend no tiene pruebas unitarias y reporta cobertura vacía</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Quality Gate</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bugs ni vulnerabilidades nuevos, puntos críticos revisados, duplicación y cobertura sobre código nuevo según los umbrales del servidor</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Espera del resultado</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sonar.qualitygate.wait=true: el scanner termina con error si el Quality Gate falla (así se comporta en el pipeline)</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Control de versiones</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deshabilitó el proveedor SCM (sonar.scm.disabled=true) porque el scanner corre en un contenedor sin el repositorio Git configurado</w:t>
            </w:r>
          </w:p>
        </w:tc>
      </w:tr>
    </w:tbl>
    <w:p>
      <w:pPr>
        <w:spacing w:after="80" w:before="0" w:line="276"/>
      </w:pPr>
      <w:r>
        <w:rPr>
          <w:rFonts w:ascii="Arial" w:cs="Arial" w:eastAsia="Arial" w:hAnsi="Arial"/>
          <w:sz w:val="19"/>
          <w:szCs w:val="19"/>
        </w:rPr>
        <w:t xml:space="preserve"/>
      </w:r>
    </w:p>
    <w:p>
      <w:pPr>
        <w:spacing w:after="100" w:before="0" w:line="276"/>
      </w:pPr>
      <w:r>
        <w:rPr>
          <w:rFonts w:ascii="Arial" w:cs="Arial" w:eastAsia="Arial" w:hAnsi="Arial"/>
          <w:b/>
          <w:bCs/>
          <w:sz w:val="19"/>
          <w:szCs w:val="19"/>
        </w:rPr>
        <w:t xml:space="preserve">Comandos equivalentes a los del pipeline:</w:t>
      </w:r>
    </w:p>
    <w:p>
      <w:pPr>
        <w:spacing w:after="20" w:before="0" w:line="276"/>
      </w:pPr>
      <w:r>
        <w:rPr>
          <w:rFonts w:ascii="Consolas" w:cs="Consolas" w:eastAsia="Consolas" w:hAnsi="Consolas"/>
          <w:sz w:val="17"/>
          <w:szCs w:val="17"/>
        </w:rPr>
        <w:t xml:space="preserve">cd backend &amp;&amp; npm test -- --coverage           # genera backend/coverage/lcov.info</w:t>
      </w:r>
    </w:p>
    <w:p>
      <w:pPr>
        <w:spacing w:after="20" w:before="0" w:line="276"/>
      </w:pPr>
      <w:r>
        <w:rPr>
          <w:rFonts w:ascii="Consolas" w:cs="Consolas" w:eastAsia="Consolas" w:hAnsi="Consolas"/>
          <w:sz w:val="17"/>
          <w:szCs w:val="17"/>
        </w:rPr>
        <w:t xml:space="preserve">node scripts/ci/prefijar-lcov.mjs backend/coverage/lcov.info backend/coverage/lcov.sonar.info backend/</w:t>
      </w:r>
    </w:p>
    <w:p>
      <w:pPr>
        <w:spacing w:after="100" w:before="0" w:line="276"/>
      </w:pPr>
      <w:r>
        <w:rPr>
          <w:rFonts w:ascii="Consolas" w:cs="Consolas" w:eastAsia="Consolas" w:hAnsi="Consolas"/>
          <w:sz w:val="17"/>
          <w:szCs w:val="17"/>
        </w:rPr>
        <w:t xml:space="preserve">sonar-scanner -Dsonar.host.url=… -Dsonar.token=… -Dsonar.qualitygate.wait=true</w:t>
      </w:r>
    </w:p>
    <w:p>
      <w:pPr>
        <w:pStyle w:val="Heading1"/>
        <w:spacing w:after="160" w:before="360"/>
      </w:pPr>
      <w:r>
        <w:rPr>
          <w:rFonts w:ascii="Arial" w:cs="Arial" w:eastAsia="Arial" w:hAnsi="Arial"/>
          <w:b/>
          <w:bCs/>
          <w:color w:val="0A3D2A"/>
          <w:sz w:val="30"/>
          <w:szCs w:val="30"/>
        </w:rPr>
        <w:t xml:space="preserve">3. Resultados</w:t>
      </w:r>
    </w:p>
    <w:p>
      <w:pPr>
        <w:pStyle w:val="Heading2"/>
        <w:spacing w:after="120" w:before="280"/>
      </w:pPr>
      <w:r>
        <w:rPr>
          <w:rFonts w:ascii="Arial" w:cs="Arial" w:eastAsia="Arial" w:hAnsi="Arial"/>
          <w:b/>
          <w:bCs/>
          <w:color w:val="0A3D2A"/>
          <w:sz w:val="25"/>
          <w:szCs w:val="25"/>
        </w:rPr>
        <w:t xml:space="preserve">3.1 Quality Gate</w:t>
      </w:r>
    </w:p>
    <w:p>
      <w:pPr>
        <w:spacing w:after="100" w:before="0" w:line="276"/>
      </w:pPr>
      <w:r>
        <w:rPr>
          <w:rFonts w:ascii="Arial" w:cs="Arial" w:eastAsia="Arial" w:hAnsi="Arial"/>
          <w:sz w:val="19"/>
          <w:szCs w:val="19"/>
        </w:rPr>
        <w:t xml:space="preserve">Estado: APROBADO. Condiciones evaluadas por SonarQube: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00"/>
        <w:gridCol w:w="2280"/>
      </w:tblGrid>
      <w:tr>
        <w:trPr>
          <w:cantSplit/>
          <w:tblHeader/>
        </w:trPr>
        <w:tc>
          <w:tcPr>
            <w:tcW w:type="dxa" w:w="34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Condición</w:t>
            </w:r>
          </w:p>
        </w:tc>
        <w:tc>
          <w:tcPr>
            <w:tcW w:type="dxa" w:w="2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c>
          <w:tcPr>
            <w:tcW w:type="dxa" w:w="24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Valor obtenido</w:t>
            </w:r>
          </w:p>
        </w:tc>
        <w:tc>
          <w:tcPr>
            <w:tcW w:type="dxa" w:w="2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Falla si el valor es</w:t>
            </w:r>
          </w:p>
        </w:tc>
      </w:tr>
      <w:tr>
        <w:trPr>
          <w:cantSplit/>
          <w:tblHeader w:val="off"/>
        </w:trPr>
        <w:tc>
          <w:tcPr>
            <w:tcW w:type="dxa" w:w="3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new_coverage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APROBADO</w:t>
            </w:r>
          </w:p>
        </w:tc>
        <w:tc>
          <w:tcPr>
            <w:tcW w:type="dxa" w:w="2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8.3</w:t>
            </w:r>
          </w:p>
        </w:tc>
        <w:tc>
          <w:tcPr>
            <w:tcW w:type="dxa" w:w="2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&lt; 80</w:t>
            </w:r>
          </w:p>
        </w:tc>
      </w:tr>
      <w:tr>
        <w:trPr>
          <w:cantSplit/>
          <w:tblHeader w:val="off"/>
        </w:trPr>
        <w:tc>
          <w:tcPr>
            <w:tcW w:type="dxa" w:w="3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new_duplicated_lines_density</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APROBADO</w:t>
            </w:r>
          </w:p>
        </w:tc>
        <w:tc>
          <w:tcPr>
            <w:tcW w:type="dxa" w:w="2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0.0</w:t>
            </w:r>
          </w:p>
        </w:tc>
        <w:tc>
          <w:tcPr>
            <w:tcW w:type="dxa" w:w="2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&gt; 3</w:t>
            </w:r>
          </w:p>
        </w:tc>
      </w:tr>
      <w:tr>
        <w:trPr>
          <w:cantSplit/>
          <w:tblHeader w:val="off"/>
        </w:trPr>
        <w:tc>
          <w:tcPr>
            <w:tcW w:type="dxa" w:w="3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new_violations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APROBADO</w:t>
            </w:r>
          </w:p>
        </w:tc>
        <w:tc>
          <w:tcPr>
            <w:tcW w:type="dxa" w:w="2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2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&gt; 0</w:t>
            </w:r>
          </w:p>
        </w:tc>
      </w:tr>
    </w:tbl>
    <w:p>
      <w:pPr>
        <w:spacing w:after="100" w:before="0" w:line="276"/>
      </w:pPr>
      <w:r>
        <w:rPr>
          <w:rFonts w:ascii="Arial" w:cs="Arial" w:eastAsia="Arial" w:hAnsi="Arial"/>
          <w:b/>
          <w:bCs/>
          <w:sz w:val="19"/>
          <w:szCs w:val="19"/>
        </w:rPr>
        <w:t xml:space="preserve">Cómo leer estas condiciones. </w:t>
      </w:r>
      <w:r>
        <w:rPr>
          <w:rFonts w:ascii="Arial" w:cs="Arial" w:eastAsia="Arial" w:hAnsi="Arial"/>
          <w:sz w:val="19"/>
          <w:szCs w:val="19"/>
        </w:rPr>
        <w:t xml:space="preserve">El Quality Gate por defecto de SonarQube (Sonar way) evalúa solo el código nuevo (new_*). En un análisis con pocos cambios, SonarQube puede marcar una condición como aprobada aunque su valor sea bajo: en el análisis 2 el código nuevo fue de solo 12 líneas por cubrir y 18 líneas nuevas (ver el tablero en la sección 4), con una cobertura del 8,3 % sobre ellas, y el gate no exige el umbral con una muestra tan pequeña. Por eso este documento reporta también la cobertura global del backend, que es la cifra que sirve para decidir dónde reforzar las pruebas: 51.7 % en total, con el frontend sin pruebas unitarias; se recomienda aumentarla en los próximos sprints.</w:t>
      </w:r>
    </w:p>
    <w:p>
      <w:pPr>
        <w:pStyle w:val="Heading2"/>
        <w:spacing w:after="120" w:before="280"/>
      </w:pPr>
      <w:r>
        <w:rPr>
          <w:rFonts w:ascii="Arial" w:cs="Arial" w:eastAsia="Arial" w:hAnsi="Arial"/>
          <w:b/>
          <w:bCs/>
          <w:color w:val="0A3D2A"/>
          <w:sz w:val="25"/>
          <w:szCs w:val="25"/>
        </w:rPr>
        <w:t xml:space="preserve">3.2 Métricas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3780"/>
      </w:tblGrid>
      <w:tr>
        <w:trPr>
          <w:cantSplit/>
          <w:tblHeader/>
        </w:trPr>
        <w:tc>
          <w:tcPr>
            <w:tcW w:type="dxa" w:w="3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Métrica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Análisis 1 (línea base)</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Análisis 2 (final)</w:t>
            </w:r>
          </w:p>
        </w:tc>
        <w:tc>
          <w:tcPr>
            <w:tcW w:type="dxa" w:w="37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Qué mide</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Líneas de código (ncloc)</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4.153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4.154</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Líneas de código analizadas (backend y frontend)</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Archivos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84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84</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Archivos fuente analizados</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Bugs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Errores probables en el comportamiento</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Vulnerabilidades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Fallas explotables de seguridad</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Puntos críticos de seguridad</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Código sensible que requiere revisión manual</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Code smells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Problemas de mantenibilidad</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Deuda técnica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40 min</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 min</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Esfuerzo estimado para corregir los code smells</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Cobertura de pruebas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51.7 %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51.7 %</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Líneas y ramas cubiertas por las pruebas Jest del backend</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Cobertura de líneas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47.7 %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47.8 %</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líneas</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Duplicación</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0.0 %</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Porcentaje de líneas duplicadas</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Calificación de confiabilidad</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 = sin bugs</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Calificación de seguridad</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 = sin vulnerabilidades</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Calificación de mantenibilidad</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 = deuda técnica ≤ 5 % del esfuerzo de desarrollo</w:t>
            </w:r>
          </w:p>
        </w:tc>
      </w:tr>
      <w:tr>
        <w:trPr>
          <w:cantSplit/>
          <w:tblHeader w:val="off"/>
        </w:trPr>
        <w:tc>
          <w:tcPr>
            <w:tcW w:type="dxa" w:w="3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Complejidad ciclomática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707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707</w:t>
            </w:r>
          </w:p>
        </w:tc>
        <w:tc>
          <w:tcPr>
            <w:tcW w:type="dxa" w:w="3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Caminos independientes del código</w:t>
            </w:r>
          </w:p>
        </w:tc>
      </w:tr>
    </w:tbl>
    <w:p>
      <w:pPr>
        <w:spacing w:after="6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3.3 Hallazgos (issues) abiertos</w:t>
      </w:r>
    </w:p>
    <w:p>
      <w:pPr>
        <w:pStyle w:val="Heading3"/>
        <w:spacing w:after="80" w:before="200"/>
      </w:pPr>
      <w:r>
        <w:rPr>
          <w:rFonts w:ascii="Arial" w:cs="Arial" w:eastAsia="Arial" w:hAnsi="Arial"/>
          <w:b/>
          <w:bCs/>
          <w:color w:val="2F3B45"/>
          <w:sz w:val="21"/>
          <w:szCs w:val="21"/>
        </w:rPr>
        <w:t xml:space="preserve">Análisis 1 (línea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480"/>
      </w:tblGrid>
      <w:tr>
        <w:trPr>
          <w:cantSplit/>
          <w:tblHeader/>
        </w:trPr>
        <w:tc>
          <w:tcPr>
            <w:tcW w:type="dxa" w:w="2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Tipo / severidad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Bloqueante</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Crítica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Mayor</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Menor</w:t>
            </w:r>
          </w:p>
        </w:tc>
        <w:tc>
          <w:tcPr>
            <w:tcW w:type="dxa" w:w="1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Info</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Total de hallazgos abiertos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bl>
    <w:p>
      <w:pPr>
        <w:pStyle w:val="Heading3"/>
        <w:spacing w:after="80" w:before="200"/>
      </w:pPr>
      <w:r>
        <w:rPr>
          <w:rFonts w:ascii="Arial" w:cs="Arial" w:eastAsia="Arial" w:hAnsi="Arial"/>
          <w:b/>
          <w:bCs/>
          <w:color w:val="2F3B45"/>
          <w:sz w:val="21"/>
          <w:szCs w:val="21"/>
        </w:rPr>
        <w:t xml:space="preserve">Análisis 2 (final)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480"/>
      </w:tblGrid>
      <w:tr>
        <w:trPr>
          <w:cantSplit/>
          <w:tblHeader/>
        </w:trPr>
        <w:tc>
          <w:tcPr>
            <w:tcW w:type="dxa" w:w="2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Tipo / severidad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Bloqueante</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Crítica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Mayor</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Menor</w:t>
            </w:r>
          </w:p>
        </w:tc>
        <w:tc>
          <w:tcPr>
            <w:tcW w:type="dxa" w:w="1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Info</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Total de hallazgos abiertos</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c>
          <w:tcPr>
            <w:tcW w:type="dxa" w:w="1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bl>
    <w:p>
      <w:pPr>
        <w:pStyle w:val="Heading3"/>
        <w:spacing w:after="80" w:before="200"/>
      </w:pPr>
      <w:r>
        <w:rPr>
          <w:rFonts w:ascii="Arial" w:cs="Arial" w:eastAsia="Arial" w:hAnsi="Arial"/>
          <w:b/>
          <w:bCs/>
          <w:color w:val="2F3B45"/>
          <w:sz w:val="21"/>
          <w:szCs w:val="21"/>
        </w:rPr>
        <w:t xml:space="preserve">Detalle del análisis 1 (línea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700"/>
        <w:gridCol w:w="3980"/>
      </w:tblGrid>
      <w:tr>
        <w:trPr>
          <w:cantSplit/>
          <w:tblHeader/>
        </w:trPr>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Severidad</w:t>
            </w:r>
          </w:p>
        </w:tc>
        <w:tc>
          <w:tcPr>
            <w:tcW w:type="dxa" w:w="2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Regla</w:t>
            </w:r>
          </w:p>
        </w:tc>
        <w:tc>
          <w:tcPr>
            <w:tcW w:type="dxa" w:w="2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Ubicación</w:t>
            </w:r>
          </w:p>
        </w:tc>
        <w:tc>
          <w:tcPr>
            <w:tcW w:type="dxa" w:w="39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Descripción</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MINOR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javascript:S5689 — Web application technologies should not disclose version information</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backend/src/app.js:9</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This framework implicitly discloses version information by default. Make sure it is safe here.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BLOCKER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javascript:S2699 — Tests should include assertions</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backend/tests/historialReservas.integration.test.js:10</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Add at least one assertion to this test case.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BLOCKER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javascript:S2699 — Tests should include assertions</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backend/tests/openapiContrato.integration.test.js:11</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Add at least one assertion to this test case.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BLOCKER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javascript:S2699 — Tests should include assertions</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backend/tests/reservasDuplicadas.integration.test.js:16</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Add at least one assertion to this test case.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BLOCKER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javascript:S2699 — Tests should include assertions</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backend/tests/reservasMultiples.integration.test.js:21</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Add at least one assertion to this test case.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frontend/src/components/layout/Navbar.jsx:20</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frontend/src/pages/CanchaDetallePage.jsx:166</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frontend/src/pages/CanchaDetallePage.jsx:219</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frontend/src/pages/CanchaDetallePage.jsx:285</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frontend/src/pages/CanchaDetallePage.jsx:292</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frontend/src/pages/CanchaDetallePage.jsx:392</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frontend/src/pages/CanchasListPage.jsx:34</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frontend/src/pages/LoginPage.jsx:31</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frontend/src/pages/MisReservasPage.jsx:67</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frontend/src/pages/RegisterPage.jsx:27</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MAJOR</w:t>
            </w:r>
          </w:p>
        </w:tc>
        <w:tc>
          <w:tcPr>
            <w:tcW w:type="dxa" w:w="2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 Promises should not be left unhandled</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frontend/src/pages/ResetPasswordPage.jsx:30</w:t>
            </w:r>
          </w:p>
        </w:tc>
        <w:tc>
          <w:tcPr>
            <w:tcW w:type="dxa" w:w="3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Promises must be awaited, end with a call to .catch, end with a call to .then with a rejection handler or be explicitly marked as ignored with the `void` operator.</w:t>
            </w:r>
          </w:p>
        </w:tc>
      </w:tr>
    </w:tbl>
    <w:p>
      <w:pPr>
        <w:pStyle w:val="Heading2"/>
        <w:spacing w:after="120" w:before="280"/>
      </w:pPr>
      <w:r>
        <w:rPr>
          <w:rFonts w:ascii="Arial" w:cs="Arial" w:eastAsia="Arial" w:hAnsi="Arial"/>
          <w:b/>
          <w:bCs/>
          <w:color w:val="0A3D2A"/>
          <w:sz w:val="25"/>
          <w:szCs w:val="25"/>
        </w:rPr>
        <w:t xml:space="preserve">3.4 Hallazgos corregidos entre el análisis 1 y el 2</w:t>
      </w:r>
    </w:p>
    <w:p>
      <w:pPr>
        <w:spacing w:after="100" w:before="0" w:line="276"/>
      </w:pPr>
      <w:r>
        <w:rPr>
          <w:rFonts w:ascii="Arial" w:cs="Arial" w:eastAsia="Arial" w:hAnsi="Arial"/>
          <w:sz w:val="19"/>
          <w:szCs w:val="19"/>
        </w:rPr>
        <w:t xml:space="preserve">Cada hallazgo se evaluó antes de corregirlo; solo se cambió código cuando el reporte señalaba un problema real o una mejora sin riesgo funcional. Tras los cambios se volvió a ejecutar toda la batería de pruebas.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00"/>
        <w:gridCol w:w="2780"/>
      </w:tblGrid>
      <w:tr>
        <w:trPr>
          <w:cantSplit/>
          <w:tblHeader/>
        </w:trPr>
        <w:tc>
          <w:tcPr>
            <w:tcW w:type="dxa" w:w="2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Regla</w:t>
            </w:r>
          </w:p>
        </w:tc>
        <w:tc>
          <w:tcPr>
            <w:tcW w:type="dxa" w:w="2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Ubicación</w:t>
            </w:r>
          </w:p>
        </w:tc>
        <w:tc>
          <w:tcPr>
            <w:tcW w:type="dxa" w:w="2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Problema</w:t>
            </w:r>
          </w:p>
        </w:tc>
        <w:tc>
          <w:tcPr>
            <w:tcW w:type="dxa" w:w="27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Corrección</w:t>
            </w:r>
          </w:p>
        </w:tc>
      </w:tr>
      <w:tr>
        <w:trPr>
          <w:cantSplit/>
          <w:tblHeader w:val="off"/>
        </w:trPr>
        <w:tc>
          <w:tcPr>
            <w:tcW w:type="dxa" w:w="2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javascript:S5689 (vulnerabilidad, menor)</w:t>
            </w:r>
          </w:p>
        </w:tc>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backend/src/app.js:9</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Express anuncia su tecnología en la cabecera X-Powered-By, lo que facilita a un atacante buscar vulnerabilidades de esa versión. La misma observación la había reportado la prueba NF-11.</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app.disable('x-powered-by') al crear la aplicación.</w:t>
            </w:r>
          </w:p>
        </w:tc>
      </w:tr>
      <w:tr>
        <w:trPr>
          <w:cantSplit/>
          <w:tblHeader w:val="off"/>
        </w:trPr>
        <w:tc>
          <w:tcPr>
            <w:tcW w:type="dxa" w:w="2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javascript:S2699 (code smell, bloqueante)</w:t>
            </w:r>
          </w:p>
        </w:tc>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backend/tests/*.integration.test.js (4 archivos)</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marcador de «pruebas omitidas cuando no hay base de datos» era un it.skip con cuerpo vacío; SonarQube lo toma como una prueba sin aserciones. Es un falso positivo del análisis, pero dejaba un hallazgo bloqueante.</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reemplazó por it.todo(...), que declara la prueba pendiente sin cuerpo, con el mismo mensaje.</w:t>
            </w:r>
          </w:p>
        </w:tc>
      </w:tr>
      <w:tr>
        <w:trPr>
          <w:cantSplit/>
          <w:tblHeader w:val="off"/>
        </w:trPr>
        <w:tc>
          <w:tcPr>
            <w:tcW w:type="dxa" w:w="2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javascript:S9383 (bug, mayor)</w:t>
            </w:r>
          </w:p>
        </w:tc>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frontend/src/components/layout/Navbar.jsx y 6 páginas (11 llamadas)</w:t>
            </w:r>
          </w:p>
        </w:tc>
        <w:tc>
          <w:tcPr>
            <w:tcW w:type="dxa" w:w="2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Llamadas a funciones asíncronas (cargarCancha, cargarOcupados, cargarReservas, cargarCanchas, recargarOcupados) y a navigate() sin await ni catch. Las funciones de carga ya capturan sus errores internamente, así que no había un fallo real, pero una promesa rechazada fuera de ese try/catch quedaría sin tratar.</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marcan explícitamente como ignoradas con el operador void, tal como indica la regla. No cambia el comportamiento.</w:t>
            </w:r>
          </w:p>
        </w:tc>
      </w:tr>
    </w:tbl>
    <w:p>
      <w:pPr>
        <w:spacing w:after="60" w:before="0" w:line="276"/>
      </w:pPr>
      <w:r>
        <w:rPr>
          <w:rFonts w:ascii="Arial" w:cs="Arial" w:eastAsia="Arial" w:hAnsi="Arial"/>
          <w:sz w:val="19"/>
          <w:szCs w:val="19"/>
        </w:rPr>
        <w:t xml:space="preserve"/>
      </w:r>
    </w:p>
    <w:p>
      <w:pPr>
        <w:spacing w:after="100" w:before="0" w:line="276"/>
      </w:pPr>
      <w:r>
        <w:rPr>
          <w:rFonts w:ascii="Arial" w:cs="Arial" w:eastAsia="Arial" w:hAnsi="Arial"/>
          <w:b/>
          <w:bCs/>
          <w:sz w:val="19"/>
          <w:szCs w:val="19"/>
        </w:rPr>
        <w:t xml:space="preserve">Detalle del análisis 2 (final): SonarQube no reportó hallazgos abiertos.</w:t>
      </w:r>
    </w:p>
    <w:p>
      <w:pPr>
        <w:pStyle w:val="Heading2"/>
        <w:spacing w:after="120" w:before="280"/>
      </w:pPr>
      <w:r>
        <w:rPr>
          <w:rFonts w:ascii="Arial" w:cs="Arial" w:eastAsia="Arial" w:hAnsi="Arial"/>
          <w:b/>
          <w:bCs/>
          <w:color w:val="0A3D2A"/>
          <w:sz w:val="25"/>
          <w:szCs w:val="25"/>
        </w:rPr>
        <w:t xml:space="preserve">3.5 Puntos críticos de seguridad (security hotspots)</w:t>
      </w:r>
    </w:p>
    <w:p>
      <w:pPr>
        <w:spacing w:after="100" w:before="0" w:line="276"/>
      </w:pPr>
      <w:r>
        <w:rPr>
          <w:rFonts w:ascii="Arial" w:cs="Arial" w:eastAsia="Arial" w:hAnsi="Arial"/>
          <w:sz w:val="19"/>
          <w:szCs w:val="19"/>
        </w:rPr>
        <w:t xml:space="preserve">SonarQube no marcó puntos críticos de seguridad en el código analizado.</w:t>
      </w:r>
    </w:p>
    <w:p>
      <w:pPr>
        <w:pStyle w:val="Heading2"/>
        <w:spacing w:after="120" w:before="280"/>
      </w:pPr>
      <w:r>
        <w:rPr>
          <w:rFonts w:ascii="Arial" w:cs="Arial" w:eastAsia="Arial" w:hAnsi="Arial"/>
          <w:b/>
          <w:bCs/>
          <w:color w:val="0A3D2A"/>
          <w:sz w:val="25"/>
          <w:szCs w:val="25"/>
        </w:rPr>
        <w:t xml:space="preserve">3.6 Cobertura y calidad por archivo</w:t>
      </w:r>
    </w:p>
    <w:p>
      <w:pPr>
        <w:spacing w:after="100" w:before="0" w:line="276"/>
      </w:pPr>
      <w:r>
        <w:rPr>
          <w:rFonts w:ascii="Arial" w:cs="Arial" w:eastAsia="Arial" w:hAnsi="Arial"/>
          <w:sz w:val="19"/>
          <w:szCs w:val="19"/>
        </w:rPr>
        <w:t xml:space="preserve">Se listan los archivos con más líneas de código, con la cobertura de pruebas, los code smells y la duplicación de cada uno. Los archivos del frontend no tienen pruebas unitarias; su calidad se valida con las pruebas E2E del documento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1100"/>
        <w:gridCol w:w="1500"/>
        <w:gridCol w:w="1500"/>
        <w:gridCol w:w="1580"/>
      </w:tblGrid>
      <w:tr>
        <w:trPr>
          <w:cantSplit/>
          <w:tblHeader/>
        </w:trPr>
        <w:tc>
          <w:tcPr>
            <w:tcW w:type="dxa" w:w="44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Archivo</w:t>
            </w:r>
          </w:p>
        </w:tc>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Líneas</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Cobertura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Code smells</w:t>
            </w:r>
          </w:p>
        </w:tc>
        <w:tc>
          <w:tcPr>
            <w:tcW w:type="dxa" w:w="1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Duplicación</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frontend/src/pages/CanchaDetallePage.jsx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680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frontend/src/pages/MisReservasPage.jsx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frontend/src/components/common/Icono.jsx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148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backend/src/services/temporizadorReservaService.js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139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91.2 %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backend/src/services/retencionService.js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89.8 %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backend/src/services/reservaService.js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95.7 %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backend/src/repositories/reservaRepository.js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86.0 %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frontend/src/pages/CanchasListPage.jsx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backend/src/sockets/temporizadorSocket.js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frontend/src/pages/RegisterPage.jsx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backend/src/repositories/canchaRepository.js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24.7 %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frontend/src/components/canchas/FiltroCanchas.jsx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frontend/src/pages/LoginPage.jsx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frontend/src/pages/ResetPasswordPage.jsx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frontend/src/components/canchas/TemporizadorReserva.jsx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frontend/src/hooks/useTemporizadorReserva.js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backend/src/repositories/retencionRepository.js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39.1 %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backend/src/services/authService.js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88.2 %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frontend/src/components/layout/Navbar.jsx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backend/src/services/emailService.js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73.3 %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frontend/src/pages/ForgotPasswordPage.jsx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frontend/src/router/AppRouter.jsx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frontend/src/components/canchas/CanchaCard.jsx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backend/src/services/canchaService.js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83.3 %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frontend/src/components/canchas/ConfirmacionReserva.jsx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backend/src/repositories/sesionReservaRepository.js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13.3 %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backend/src/utils/validators/reservaValidators.js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backend/src/controllers/reservaController.js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91.3 %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backend/src/routes/canchaRoutes.js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backend/src/controllers/authController.js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92.0 %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backend/src/models/Reserva.js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88.9 %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frontend/src/context/AuthContext.jsx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backend/src/repositories/horarioRepository.js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29.4 %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backend/src/controllers/canchaController.js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86.2 %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backend/src/repositories/usuarioRepository.js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81.8 %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backend/src/repositories/passwordResetRepository.js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88.9 %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frontend/src/components/layout/AuthLayout.jsx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backend/src/config/documentacion.js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89.3 %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backend/src/utils/validators/authValidators.js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frontend/src/api/axiosClient.js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backend/src/utils/validators/canchaValidators.js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frontend/src/components/layout/Footer.jsx</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backend/src/config/corsOrigin.js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93.1 %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backend/src/config/env.js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68.6 %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r>
        <w:trPr>
          <w:cantSplit/>
          <w:tblHeader w:val="off"/>
        </w:trPr>
        <w:tc>
          <w:tcPr>
            <w:tcW w:type="dxa" w:w="4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backend/src/app.js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91.3 %</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w:t>
            </w:r>
          </w:p>
        </w:tc>
      </w:tr>
    </w:tbl>
    <w:p>
      <w:r>
        <w:br w:type="page"/>
      </w:r>
    </w:p>
    <w:p>
      <w:pPr>
        <w:pStyle w:val="Heading1"/>
        <w:spacing w:after="160" w:before="360"/>
      </w:pPr>
      <w:r>
        <w:rPr>
          <w:rFonts w:ascii="Arial" w:cs="Arial" w:eastAsia="Arial" w:hAnsi="Arial"/>
          <w:b/>
          <w:bCs/>
          <w:color w:val="0A3D2A"/>
          <w:sz w:val="30"/>
          <w:szCs w:val="30"/>
        </w:rPr>
        <w:t xml:space="preserve">4. Evidencias</w:t>
      </w:r>
    </w:p>
    <w:p>
      <w:pPr>
        <w:keepNext/>
        <w:spacing w:after="40" w:before="80"/>
        <w:jc w:val="center"/>
      </w:pPr>
      <w:r>
        <w:drawing>
          <wp:inline distT="0" distB="0" distL="0" distR="0">
            <wp:extent cx="58959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95975" cy="4095750"/>
                    </a:xfrm>
                    <a:prstGeom prst="rect">
                      <a:avLst/>
                    </a:prstGeom>
                  </pic:spPr>
                </pic:pic>
              </a:graphicData>
            </a:graphic>
          </wp:inline>
        </w:drawing>
      </w:r>
    </w:p>
    <w:p>
      <w:pPr>
        <w:spacing w:after="160" w:before="0" w:line="276"/>
        <w:jc w:val="center"/>
      </w:pPr>
      <w:r>
        <w:rPr>
          <w:rFonts w:ascii="Arial" w:cs="Arial" w:eastAsia="Arial" w:hAnsi="Arial"/>
          <w:i/>
          <w:iCs/>
          <w:sz w:val="17"/>
          <w:szCs w:val="17"/>
        </w:rPr>
        <w:t xml:space="preserve">Figura 1. Tablero del proyecto: Quality Gate y métricas</w:t>
      </w:r>
    </w:p>
    <w:p>
      <w:pPr>
        <w:keepNext/>
        <w:spacing w:after="40" w:before="80"/>
        <w:jc w:val="center"/>
      </w:pPr>
      <w:r>
        <w:drawing>
          <wp:inline distT="0" distB="0" distL="0" distR="0">
            <wp:extent cx="5895975" cy="4095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95975" cy="4095750"/>
                    </a:xfrm>
                    <a:prstGeom prst="rect">
                      <a:avLst/>
                    </a:prstGeom>
                  </pic:spPr>
                </pic:pic>
              </a:graphicData>
            </a:graphic>
          </wp:inline>
        </w:drawing>
      </w:r>
    </w:p>
    <w:p>
      <w:pPr>
        <w:spacing w:after="160" w:before="0" w:line="276"/>
        <w:jc w:val="center"/>
      </w:pPr>
      <w:r>
        <w:rPr>
          <w:rFonts w:ascii="Arial" w:cs="Arial" w:eastAsia="Arial" w:hAnsi="Arial"/>
          <w:i/>
          <w:iCs/>
          <w:sz w:val="17"/>
          <w:szCs w:val="17"/>
        </w:rPr>
        <w:t xml:space="preserve">Figura 2. Hallazgos (issues) abiertos</w:t>
      </w:r>
    </w:p>
    <w:p>
      <w:pPr>
        <w:keepNext/>
        <w:spacing w:after="40" w:before="80"/>
        <w:jc w:val="center"/>
      </w:pPr>
      <w:r>
        <w:drawing>
          <wp:inline distT="0" distB="0" distL="0" distR="0">
            <wp:extent cx="5895975" cy="4095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95975" cy="4095750"/>
                    </a:xfrm>
                    <a:prstGeom prst="rect">
                      <a:avLst/>
                    </a:prstGeom>
                  </pic:spPr>
                </pic:pic>
              </a:graphicData>
            </a:graphic>
          </wp:inline>
        </w:drawing>
      </w:r>
    </w:p>
    <w:p>
      <w:pPr>
        <w:spacing w:after="160" w:before="0" w:line="276"/>
        <w:jc w:val="center"/>
      </w:pPr>
      <w:r>
        <w:rPr>
          <w:rFonts w:ascii="Arial" w:cs="Arial" w:eastAsia="Arial" w:hAnsi="Arial"/>
          <w:i/>
          <w:iCs/>
          <w:sz w:val="17"/>
          <w:szCs w:val="17"/>
        </w:rPr>
        <w:t xml:space="preserve">Figura 3. Puntos críticos de seguridad (security hotspots)</w:t>
      </w:r>
    </w:p>
    <w:p>
      <w:pPr>
        <w:keepNext/>
        <w:spacing w:after="40" w:before="80"/>
        <w:jc w:val="center"/>
      </w:pPr>
      <w:r>
        <w:drawing>
          <wp:inline distT="0" distB="0" distL="0" distR="0">
            <wp:extent cx="5895975" cy="4095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95975" cy="4095750"/>
                    </a:xfrm>
                    <a:prstGeom prst="rect">
                      <a:avLst/>
                    </a:prstGeom>
                  </pic:spPr>
                </pic:pic>
              </a:graphicData>
            </a:graphic>
          </wp:inline>
        </w:drawing>
      </w:r>
    </w:p>
    <w:p>
      <w:pPr>
        <w:spacing w:after="160" w:before="0" w:line="276"/>
        <w:jc w:val="center"/>
      </w:pPr>
      <w:r>
        <w:rPr>
          <w:rFonts w:ascii="Arial" w:cs="Arial" w:eastAsia="Arial" w:hAnsi="Arial"/>
          <w:i/>
          <w:iCs/>
          <w:sz w:val="17"/>
          <w:szCs w:val="17"/>
        </w:rPr>
        <w:t xml:space="preserve">Figura 4. Cobertura de pruebas por archivo</w:t>
      </w:r>
    </w:p>
    <w:p>
      <w:pPr>
        <w:keepNext/>
        <w:spacing w:after="40" w:before="80"/>
        <w:jc w:val="center"/>
      </w:pPr>
      <w:r>
        <w:drawing>
          <wp:inline distT="0" distB="0" distL="0" distR="0">
            <wp:extent cx="5895975" cy="4095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95975" cy="4095750"/>
                    </a:xfrm>
                    <a:prstGeom prst="rect">
                      <a:avLst/>
                    </a:prstGeom>
                  </pic:spPr>
                </pic:pic>
              </a:graphicData>
            </a:graphic>
          </wp:inline>
        </w:drawing>
      </w:r>
    </w:p>
    <w:p>
      <w:pPr>
        <w:spacing w:after="160" w:before="0" w:line="276"/>
        <w:jc w:val="center"/>
      </w:pPr>
      <w:r>
        <w:rPr>
          <w:rFonts w:ascii="Arial" w:cs="Arial" w:eastAsia="Arial" w:hAnsi="Arial"/>
          <w:i/>
          <w:iCs/>
          <w:sz w:val="17"/>
          <w:szCs w:val="17"/>
        </w:rPr>
        <w:t xml:space="preserve">Figura 5. Estructura del código analizado</w:t>
      </w:r>
    </w:p>
    <w:p>
      <w:pPr>
        <w:pStyle w:val="Heading1"/>
        <w:spacing w:after="160" w:before="360"/>
      </w:pPr>
      <w:r>
        <w:rPr>
          <w:rFonts w:ascii="Arial" w:cs="Arial" w:eastAsia="Arial" w:hAnsi="Arial"/>
          <w:b/>
          <w:bCs/>
          <w:color w:val="0A3D2A"/>
          <w:sz w:val="30"/>
          <w:szCs w:val="30"/>
        </w:rPr>
        <w:t xml:space="preserve">5. Integración con el pipeline (US-20 y US-21)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Elemento</w:t>
            </w:r>
          </w:p>
        </w:tc>
        <w:tc>
          <w:tcPr>
            <w:tcW w:type="dxa" w:w="7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Job "SonarQube Quality Gate"</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Definido en .github/workflows/ci-cd.yml: depende de backend y frontend, descarga el lcov y ejecuta sonarqube-scan-action con sonar.qualitygate.wait=true</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Dependencia del job de Docker</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construcción de Docker espera al Quality Gate: un código que no pasa el gate no se despliega</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Secretos necesarios</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SONAR_TOKEN (secreto del repositorio) y SONAR_HOST_URL (variable del repositorio), configurados en GitHub → Settings → Secrets and variables → Actions</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Servidor apagado o sin configurar</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primer paso del job consulta /api/server/version. Si el servidor no responde (por ejemplo, un túnel de ngrok cerrado) o faltan la variable o el secreto, el análisis se omite con un aviso en el resumen de la ejecución y el pipeline continúa; si responde, el Quality Gate sigue siendo obligatorio</w:t>
            </w:r>
          </w:p>
        </w:tc>
      </w:tr>
      <w:tr>
        <w:trPr>
          <w:cantSplit/>
          <w:tblHeader w:val="off"/>
        </w:trPr>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Verificación automática</w:t>
            </w:r>
          </w:p>
        </w:tc>
        <w:tc>
          <w:tcPr>
            <w:tcW w:type="dxa" w:w="70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casos SD-15 y SD-24 del documento 05 revisan que la configuración y el job existan</w:t>
            </w:r>
          </w:p>
        </w:tc>
      </w:tr>
    </w:tbl>
    <w:p>
      <w:pPr>
        <w:spacing w:after="60" w:before="0" w:line="276"/>
      </w:pPr>
      <w:r>
        <w:rPr>
          <w:rFonts w:ascii="Arial" w:cs="Arial" w:eastAsia="Arial" w:hAnsi="Arial"/>
          <w:sz w:val="19"/>
          <w:szCs w:val="19"/>
        </w:rPr>
        <w:t xml:space="preserve"/>
      </w:r>
    </w:p>
    <w:p>
      <w:pPr>
        <w:spacing w:after="100" w:before="0" w:line="276"/>
      </w:pPr>
      <w:r>
        <w:rPr>
          <w:rFonts w:ascii="Arial" w:cs="Arial" w:eastAsia="Arial" w:hAnsi="Arial"/>
          <w:b/>
          <w:bCs/>
          <w:sz w:val="19"/>
          <w:szCs w:val="19"/>
        </w:rPr>
        <w:t xml:space="preserve">Importante: </w:t>
      </w:r>
      <w:r>
        <w:rPr>
          <w:rFonts w:ascii="Arial" w:cs="Arial" w:eastAsia="Arial" w:hAnsi="Arial"/>
          <w:sz w:val="19"/>
          <w:szCs w:val="19"/>
        </w:rPr>
        <w:t xml:space="preserve">este análisis se hizo contra un SonarQube local descartable, porque el servidor del equipo no es accesible desde este entorno. Los resultados reflejan el mismo código y las mismas reglas, pero el panel oficial del equipo (y su historial) se genera cuando el pipeline corre con el servidor real.</w:t>
      </w:r>
    </w:p>
    <w:p>
      <w:pPr>
        <w:pStyle w:val="Heading1"/>
        <w:spacing w:after="160" w:before="360"/>
      </w:pPr>
      <w:r>
        <w:rPr>
          <w:rFonts w:ascii="Arial" w:cs="Arial" w:eastAsia="Arial" w:hAnsi="Arial"/>
          <w:b/>
          <w:bCs/>
          <w:color w:val="0A3D2A"/>
          <w:sz w:val="30"/>
          <w:szCs w:val="30"/>
        </w:rPr>
        <w:t xml:space="preserve">6. Conclusión</w:t>
      </w:r>
    </w:p>
    <w:p>
      <w:pPr>
        <w:spacing w:after="100" w:before="0" w:line="276"/>
      </w:pPr>
      <w:r>
        <w:rPr>
          <w:rFonts w:ascii="Arial" w:cs="Arial" w:eastAsia="Arial" w:hAnsi="Arial"/>
          <w:sz w:val="19"/>
          <w:szCs w:val="19"/>
        </w:rPr>
        <w:t xml:space="preserve">El Quality Gate quedó aprobado con 0 bugs, 0 vulnerabilidades y 0 puntos críticos de seguridad. La cobertura de pruebas del backend es 51.7 % y la duplicación 0.0 %. Quedan 0 hallazgos de mantenibilidad abiertos.</w:t>
      </w:r>
    </w:p>
    <w:p>
      <w:pPr>
        <w:spacing w:after="100" w:before="0" w:line="276"/>
      </w:pPr>
      <w:r>
        <w:rPr>
          <w:rFonts w:ascii="Arial" w:cs="Arial" w:eastAsia="Arial" w:hAnsi="Arial"/>
          <w:sz w:val="19"/>
          <w:szCs w:val="19"/>
        </w:rPr>
        <w:t xml:space="preserve">Criterios de aceptación de US-21 cubiertos: 5.</w:t>
      </w:r>
    </w:p>
    <w:sectPr>
      <w:headerReference w:type="default" r:id="rId6"/>
      <w:footerReference w:type="default" r:id="rId7"/>
      <w:pgSz w:w="12240" w:h="15840"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Página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de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3" w:sz="4" w:space="4"/>
      </w:pBdr>
    </w:pPr>
    <w:r>
      <w:rPr>
        <w:rFonts w:ascii="Arial" w:cs="Arial" w:eastAsia="Arial" w:hAnsi="Arial"/>
        <w:color w:val="5B6770"/>
        <w:sz w:val="16"/>
        <w:szCs w:val="16"/>
      </w:rPr>
      <w:t xml:space="preserve">CanchaYa · Resultados del Análisis con SonarQube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A3D2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F3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a54b5b703b96f34c78907293447f526b50b103e.jpg"/><Relationship Id="rId10" Type="http://schemas.openxmlformats.org/officeDocument/2006/relationships/image" Target="media/600bccf22fbc1438ed81b8ad8dd1b1e4947b8ebb.jpg"/><Relationship Id="rId11" Type="http://schemas.openxmlformats.org/officeDocument/2006/relationships/image" Target="media/4959fb3969dd6f9742c6ca4eaad8fd7e0c4916ce.jpg"/><Relationship Id="rId12" Type="http://schemas.openxmlformats.org/officeDocument/2006/relationships/image" Target="media/da4ab4018e95190543fd0f1b68403b11af9b8ca0.jpg"/><Relationship Id="rId13" Type="http://schemas.openxmlformats.org/officeDocument/2006/relationships/image" Target="media/102fc20e91d7c824bb914bdfa12aff1c2c9490f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del Análisis con SonarQube - CanchaYa</dc:title>
  <dc:creator>Equipo CanchaYa</dc:creator>
  <cp:lastModifiedBy>Un-named</cp:lastModifiedBy>
  <cp:revision>1</cp:revision>
  <dcterms:created xsi:type="dcterms:W3CDTF">2026-10-14T06:45:50.451Z</dcterms:created>
  <dcterms:modified xsi:type="dcterms:W3CDTF">2026-10-14T06:45:50.452Z</dcterms:modified>
</cp:coreProperties>
</file>

<file path=docProps/custom.xml><?xml version="1.0" encoding="utf-8"?>
<Properties xmlns="http://schemas.openxmlformats.org/officeDocument/2006/custom-properties" xmlns:vt="http://schemas.openxmlformats.org/officeDocument/2006/docPropsVTypes"/>
</file>