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ua"/>
        <w:spacing w:before="480" w:after="240"/>
        <w:rPr/>
      </w:pPr>
      <w:r>
        <w:rPr/>
        <w:t>Artikulurantza</w:t>
      </w:r>
    </w:p>
    <w:p>
      <w:pPr>
        <w:pStyle w:val="Author"/>
        <w:rPr/>
      </w:pPr>
      <w:r>
        <w:rPr/>
        <w:t>Juan Abasolo</w:t>
      </w:r>
    </w:p>
    <w:p>
      <w:pPr>
        <w:pStyle w:val="Date"/>
        <w:rPr/>
      </w:pPr>
      <w:r>
        <w:rPr/>
        <w:t>2018(e)ko uztailak 13</w:t>
      </w:r>
    </w:p>
    <w:p>
      <w:pPr>
        <w:pStyle w:val="FirstParagraph"/>
        <w:rPr/>
      </w:pPr>
      <w:r>
        <w:rPr/>
        <w:t>Hizketaren sortze prozesua modu inkrementalean egiten da.</w:t>
      </w:r>
    </w:p>
    <w:p>
      <w:pPr>
        <w:pStyle w:val="CaptionedFigure"/>
        <w:keepNext/>
        <w:numPr>
          <w:ilvl w:val="0"/>
          <w:numId w:val="1"/>
        </w:numPr>
        <w:outlineLvl w:val="0"/>
        <w:rPr/>
      </w:pPr>
      <w:r>
        <w:rPr/>
        <w:t>Levelten Hizketaren eredua H</w:t>
      </w:r>
      <w:r>
        <w:rPr>
          <w:vertAlign w:val="subscript"/>
        </w:rPr>
        <w:t>2</w:t>
      </w:r>
      <w:r>
        <w:rPr/>
        <w:t xml:space="preserve"> ere kontuan hartuta - Segalovitz 2010</w:t>
      </w:r>
    </w:p>
    <w:p>
      <w:pPr>
        <w:pStyle w:val="ImageCaption"/>
        <w:rPr/>
      </w:pPr>
      <w:r>
        <w:rPr/>
        <w:t>Levelten Hizketaren eredua H</w:t>
      </w:r>
      <w:r>
        <w:rPr>
          <w:vertAlign w:val="subscript"/>
        </w:rPr>
        <w:t>2</w:t>
      </w:r>
      <w:r>
        <w:rPr/>
        <w:t xml:space="preserve"> ere kontuan hartuta - Segalovitz 2010</w:t>
      </w:r>
    </w:p>
    <w:p>
      <w:pPr>
        <w:pStyle w:val="Normal"/>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3izenburua"/>
        <w:keepNext/>
        <w:keepLines/>
        <w:numPr>
          <w:ilvl w:val="0"/>
          <w:numId w:val="1"/>
        </w:numPr>
        <w:spacing w:before="454" w:after="227"/>
        <w:ind w:left="0" w:right="0" w:hanging="0"/>
        <w:outlineLvl w:val="2"/>
        <w:rPr/>
      </w:pPr>
      <w:bookmarkStart w:id="0" w:name="kodeketa-gramatikala-h2eus-berantiarrare"/>
      <w:r>
        <w:rPr/>
        <w:t>Kodeketa gramatikala H</w:t>
      </w:r>
      <w:r>
        <w:rPr>
          <w:vertAlign w:val="subscript"/>
        </w:rPr>
        <w:t>2</w:t>
      </w:r>
      <w:bookmarkEnd w:id="0"/>
      <w:r>
        <w:rPr/>
        <w:t>eus berantiarrarentzat zaila</w:t>
      </w:r>
    </w:p>
    <w:p>
      <w:pPr>
        <w:pStyle w:val="BlockText"/>
        <w:rPr/>
      </w:pPr>
      <w:r>
        <w:rPr/>
        <w:t>aditzaren arloa dugu euskal hizkuntz formen artean egituratuenetarikoa</w:t>
      </w:r>
    </w:p>
    <w:p>
      <w:pPr>
        <w:pStyle w:val="BlockText"/>
        <w:rPr/>
      </w:pPr>
      <w:r>
        <w:rPr>
          <w:i/>
        </w:rPr>
        <w:t>Pello Esnal (1988)</w:t>
      </w:r>
    </w:p>
    <w:p>
      <w:pPr>
        <w:pStyle w:val="Normal"/>
        <w:rPr/>
      </w:pPr>
      <w:r>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1" w:name="zailtasunak"/>
      <w:bookmarkEnd w:id="1"/>
      <w:r>
        <w:rPr/>
        <w:t>Zailtasunak</w:t>
      </w:r>
    </w:p>
    <w:p>
      <w:pPr>
        <w:pStyle w:val="FirstParagraph"/>
        <w:rPr/>
      </w:pPr>
      <w:r>
        <w:rPr/>
      </w:r>
    </w:p>
    <w:p>
      <w:pPr>
        <w:pStyle w:val="Normal"/>
        <w:rPr/>
      </w:pPr>
      <w:r>
        <w:rPr/>
        <mc:AlternateContent>
          <mc:Choice Requires="wps">
            <w:drawing>
              <wp:inline distT="0" distB="0" distL="0" distR="0">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2" w:name="datuak-etiketatu-neurtu-eta-analizatu"/>
      <w:bookmarkEnd w:id="2"/>
      <w:r>
        <w:rPr/>
        <w:t>Datuak (etiketatu, neurtu eta analizatu):</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512"/>
        <w:gridCol w:w="4513"/>
      </w:tblGrid>
      <w:tr>
        <w:trPr>
          <w:cnfStyle w:firstRow="1"/>
        </w:trPr>
        <w:tc>
          <w:tcPr>
            <w:tcW w:w="4512" w:type="dxa"/>
            <w:tcBorders>
              <w:bottom w:val="single" w:sz="6" w:space="0" w:color="000001"/>
              <w:insideH w:val="single" w:sz="6" w:space="0" w:color="000001"/>
            </w:tcBorders>
            <w:shd w:fill="auto" w:val="clear"/>
            <w:vAlign w:val="bottom"/>
          </w:tcPr>
          <w:p>
            <w:pPr>
              <w:pStyle w:val="Compact"/>
              <w:spacing w:before="36" w:after="36"/>
              <w:jc w:val="left"/>
              <w:rPr/>
            </w:pPr>
            <w:r>
              <w:rPr/>
              <w:t>3057 berba</w:t>
            </w:r>
          </w:p>
        </w:tc>
        <w:tc>
          <w:tcPr>
            <w:tcW w:w="4513" w:type="dxa"/>
            <w:tcBorders>
              <w:bottom w:val="single" w:sz="6" w:space="0" w:color="000001"/>
              <w:insideH w:val="single" w:sz="6" w:space="0" w:color="000001"/>
            </w:tcBorders>
            <w:shd w:fill="auto" w:val="clear"/>
            <w:vAlign w:val="bottom"/>
          </w:tcPr>
          <w:p>
            <w:pPr>
              <w:pStyle w:val="Compact"/>
              <w:spacing w:before="36" w:after="36"/>
              <w:jc w:val="left"/>
              <w:rPr/>
            </w:pPr>
            <w:r>
              <w:rPr/>
              <w:t>1325 zailtasun</w:t>
            </w:r>
          </w:p>
        </w:tc>
      </w:tr>
      <w:tr>
        <w:trPr/>
        <w:tc>
          <w:tcPr>
            <w:tcW w:w="451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14 monologo3057 berba 467 adizki * 304 adizki nagusi perifrastiko / 278 adizki laguntzaile * 189 adizki trinko407 aditz argumentu 64 Ezezko partikula</w:t>
            </w:r>
          </w:p>
        </w:tc>
        <w:tc>
          <w:tcPr>
            <w:tcW w:w="451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564 fonazio luzatu38 berba silabatze markatuaz275 osatu gabeko berba66 errepikapen144 birformulazio</w:t>
            </w:r>
            <w:r>
              <w:rPr>
                <w:strike/>
              </w:rPr>
              <w:t>238 errore</w:t>
            </w:r>
          </w:p>
        </w:tc>
      </w:tr>
    </w:tbl>
    <w:p>
      <w:pPr>
        <w:pStyle w:val="Normal"/>
        <w:rPr/>
      </w:pPr>
      <w:r>
        <w:rPr/>
        <mc:AlternateContent>
          <mc:Choice Requires="wps">
            <w:drawing>
              <wp:inline distT="0" distB="0" distL="0" distR="0">
                <wp:extent cx="2540" cy="20955"/>
                <wp:effectExtent l="0" t="0" r="0" b="0"/>
                <wp:docPr id="4"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3" w:name="datuak-etiketatu-neurtu-eta-analizatu-1"/>
      <w:bookmarkEnd w:id="3"/>
      <w:r>
        <w:rPr/>
        <w:t>(Datuak) etiketatu, (neurtu eta analizatu):</w:t>
      </w:r>
    </w:p>
    <w:tbl>
      <w:tblPr>
        <w:tblStyle w:val="Table"/>
        <w:tblW w:w="902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56"/>
        <w:gridCol w:w="2257"/>
        <w:gridCol w:w="2258"/>
        <w:gridCol w:w="2254"/>
      </w:tblGrid>
      <w:tr>
        <w:trPr>
          <w:cnfStyle w:firstRow="1"/>
        </w:trPr>
        <w:tc>
          <w:tcPr>
            <w:tcW w:w="2256" w:type="dxa"/>
            <w:tcBorders>
              <w:bottom w:val="single" w:sz="6" w:space="0" w:color="000001"/>
              <w:insideH w:val="single" w:sz="6" w:space="0" w:color="000001"/>
            </w:tcBorders>
            <w:shd w:fill="auto" w:val="clear"/>
            <w:vAlign w:val="bottom"/>
          </w:tcPr>
          <w:p>
            <w:pPr>
              <w:pStyle w:val="Compact"/>
              <w:spacing w:before="36" w:after="36"/>
              <w:jc w:val="left"/>
              <w:rPr/>
            </w:pPr>
            <w:r>
              <w:rPr/>
              <w:t>esaldia:</w:t>
            </w:r>
          </w:p>
        </w:tc>
        <w:tc>
          <w:tcPr>
            <w:tcW w:w="2257" w:type="dxa"/>
            <w:tcBorders>
              <w:bottom w:val="single" w:sz="6" w:space="0" w:color="000001"/>
              <w:insideH w:val="single" w:sz="6" w:space="0" w:color="000001"/>
            </w:tcBorders>
            <w:shd w:fill="auto" w:val="clear"/>
            <w:vAlign w:val="bottom"/>
          </w:tcPr>
          <w:p>
            <w:pPr>
              <w:pStyle w:val="Compact"/>
              <w:spacing w:before="36" w:after="36"/>
              <w:jc w:val="left"/>
              <w:rPr/>
            </w:pPr>
            <w:r>
              <w:rPr>
                <w:i/>
              </w:rPr>
              <w:t>jakiteko betebeharrak</w:t>
            </w:r>
          </w:p>
        </w:tc>
        <w:tc>
          <w:tcPr>
            <w:tcW w:w="2258" w:type="dxa"/>
            <w:tcBorders>
              <w:bottom w:val="single" w:sz="6" w:space="0" w:color="000001"/>
              <w:insideH w:val="single" w:sz="6" w:space="0" w:color="000001"/>
            </w:tcBorders>
            <w:shd w:fill="auto" w:val="clear"/>
            <w:vAlign w:val="bottom"/>
          </w:tcPr>
          <w:p>
            <w:pPr>
              <w:pStyle w:val="Compact"/>
              <w:spacing w:before="36" w:after="36"/>
              <w:jc w:val="left"/>
              <w:rPr/>
            </w:pPr>
            <w:r>
              <w:rPr>
                <w:i/>
              </w:rPr>
              <w:t>betetze:n</w:t>
            </w:r>
          </w:p>
        </w:tc>
        <w:tc>
          <w:tcPr>
            <w:tcW w:w="2254" w:type="dxa"/>
            <w:tcBorders>
              <w:bottom w:val="single" w:sz="6" w:space="0" w:color="000001"/>
              <w:insideH w:val="single" w:sz="6" w:space="0" w:color="000001"/>
            </w:tcBorders>
            <w:shd w:fill="auto" w:val="clear"/>
            <w:vAlign w:val="bottom"/>
          </w:tcPr>
          <w:p>
            <w:pPr>
              <w:pStyle w:val="Compact"/>
              <w:spacing w:before="36" w:after="36"/>
              <w:jc w:val="left"/>
              <w:rPr/>
            </w:pPr>
            <w:r>
              <w:rPr>
                <w:i/>
              </w:rPr>
              <w:t>duten</w:t>
            </w:r>
            <w:r>
              <w:rPr/>
              <w:t xml:space="preserve"> *2</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etiketak</w:t>
            </w:r>
          </w:p>
        </w:tc>
        <w:tc>
          <w:tcPr>
            <w:tcW w:w="2257"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luzatua0</w:t>
            </w:r>
          </w:p>
        </w:tc>
        <w:tc>
          <w:tcPr>
            <w:tcW w:w="225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luzatua1</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7"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errorea (eza)</w:t>
            </w:r>
          </w:p>
        </w:tc>
      </w:tr>
      <w:tr>
        <w:trPr/>
        <w:tc>
          <w:tcPr>
            <w:tcW w:w="225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225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aditz argmentua ABS</w:t>
            </w:r>
          </w:p>
        </w:tc>
        <w:tc>
          <w:tcPr>
            <w:tcW w:w="225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aditz nagusia</w:t>
            </w:r>
          </w:p>
        </w:tc>
        <w:tc>
          <w:tcPr>
            <w:tcW w:w="225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adizki laguntzailea</w:t>
            </w:r>
          </w:p>
        </w:tc>
      </w:tr>
    </w:tbl>
    <w:p>
      <w:pPr>
        <w:pStyle w:val="Normal"/>
        <w:rPr/>
      </w:pPr>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4" w:name="datuak-etiketatu-neurtu-eta-analizatu-2"/>
      <w:bookmarkEnd w:id="4"/>
      <w:r>
        <w:rPr/>
        <w:t>(Datuak etiketatu), neurtu (eta analizatu):</w:t>
      </w:r>
    </w:p>
    <w:tbl>
      <w:tblPr>
        <w:tblStyle w:val="Table"/>
        <w:tblW w:w="902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05"/>
        <w:gridCol w:w="1805"/>
        <w:gridCol w:w="1805"/>
        <w:gridCol w:w="1805"/>
        <w:gridCol w:w="1806"/>
      </w:tblGrid>
      <w:tr>
        <w:trPr>
          <w:cnfStyle w:firstRow="1"/>
        </w:trPr>
        <w:tc>
          <w:tcPr>
            <w:tcW w:w="1805" w:type="dxa"/>
            <w:tcBorders>
              <w:bottom w:val="single" w:sz="6" w:space="0" w:color="000001"/>
              <w:insideH w:val="single" w:sz="6" w:space="0" w:color="000001"/>
            </w:tcBorders>
            <w:shd w:fill="auto" w:val="clear"/>
            <w:vAlign w:val="bottom"/>
          </w:tcPr>
          <w:p>
            <w:pPr>
              <w:pStyle w:val="Compact"/>
              <w:spacing w:before="36" w:after="36"/>
              <w:jc w:val="left"/>
              <w:rPr/>
            </w:pPr>
            <w:r>
              <w:rPr/>
              <w:t>Zailtasunen menpeko banaketak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w:t>
            </w:r>
          </w:p>
        </w:tc>
        <w:tc>
          <w:tcPr>
            <w:tcW w:w="1805" w:type="dxa"/>
            <w:tcBorders>
              <w:bottom w:val="single" w:sz="6" w:space="0" w:color="000001"/>
              <w:insideH w:val="single" w:sz="6" w:space="0" w:color="000001"/>
            </w:tcBorders>
            <w:shd w:fill="auto" w:val="clear"/>
            <w:vAlign w:val="bottom"/>
          </w:tcPr>
          <w:p>
            <w:pPr>
              <w:pStyle w:val="Compact"/>
              <w:spacing w:before="36" w:after="36"/>
              <w:jc w:val="center"/>
              <w:rPr/>
            </w:pPr>
            <w:r>
              <w:rPr>
                <w:b/>
                <w:i/>
              </w:rPr>
              <w:t>ez</w:t>
            </w:r>
          </w:p>
        </w:tc>
        <w:tc>
          <w:tcPr>
            <w:tcW w:w="1805" w:type="dxa"/>
            <w:tcBorders>
              <w:bottom w:val="single" w:sz="6" w:space="0" w:color="000001"/>
              <w:insideH w:val="single" w:sz="6" w:space="0" w:color="000001"/>
            </w:tcBorders>
            <w:shd w:fill="auto" w:val="clear"/>
            <w:vAlign w:val="bottom"/>
          </w:tcPr>
          <w:p>
            <w:pPr>
              <w:pStyle w:val="Compact"/>
              <w:spacing w:before="36" w:after="36"/>
              <w:jc w:val="center"/>
              <w:rPr/>
            </w:pPr>
            <w:r>
              <w:rPr>
                <w:b/>
              </w:rPr>
              <w:t>aditz nagusia</w:t>
            </w:r>
          </w:p>
        </w:tc>
        <w:tc>
          <w:tcPr>
            <w:tcW w:w="1805" w:type="dxa"/>
            <w:tcBorders>
              <w:bottom w:val="single" w:sz="6" w:space="0" w:color="000001"/>
              <w:insideH w:val="single" w:sz="6" w:space="0" w:color="000001"/>
            </w:tcBorders>
            <w:shd w:fill="auto" w:val="clear"/>
            <w:vAlign w:val="bottom"/>
          </w:tcPr>
          <w:p>
            <w:pPr>
              <w:pStyle w:val="Compact"/>
              <w:spacing w:before="36" w:after="36"/>
              <w:jc w:val="center"/>
              <w:rPr/>
            </w:pPr>
            <w:r>
              <w:rPr>
                <w:b/>
              </w:rPr>
              <w:t>trinkoa</w:t>
            </w:r>
          </w:p>
        </w:tc>
        <w:tc>
          <w:tcPr>
            <w:tcW w:w="1806" w:type="dxa"/>
            <w:tcBorders>
              <w:bottom w:val="single" w:sz="6" w:space="0" w:color="000001"/>
              <w:insideH w:val="single" w:sz="6" w:space="0" w:color="000001"/>
            </w:tcBorders>
            <w:shd w:fill="auto" w:val="clear"/>
            <w:vAlign w:val="bottom"/>
          </w:tcPr>
          <w:p>
            <w:pPr>
              <w:pStyle w:val="Compact"/>
              <w:spacing w:before="36" w:after="36"/>
              <w:jc w:val="center"/>
              <w:rPr/>
            </w:pPr>
            <w:r>
              <w:rPr>
                <w:b/>
              </w:rPr>
              <w:t>laguntzailea</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Fonazio luzatua</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Fonazio luzatua aurrekoan</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Fonazio luzatua azkenaurrekoan</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Berba zatiak ahozkatu dira aurretik</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Aurrekoaren errepikapena</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Errepikapena hasi eta geroko lehenengo berba da</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Birformulazioa bertan hasten da</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Birformulazioa hasi eta geroko lehenengo berba da</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r>
        <w:trPr/>
        <w:tc>
          <w:tcPr>
            <w:tcW w:w="180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Zerbait falta du</w:t>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5" w:type="dxa"/>
            <w:tcBorders>
              <w:top w:val="single" w:sz="6" w:space="0" w:color="000001"/>
              <w:bottom w:val="single" w:sz="6" w:space="0" w:color="000001"/>
              <w:insideH w:val="single" w:sz="6" w:space="0" w:color="000001"/>
            </w:tcBorders>
            <w:shd w:fill="auto" w:val="clear"/>
          </w:tcPr>
          <w:p>
            <w:pPr>
              <w:pStyle w:val="Compact"/>
              <w:spacing w:before="36" w:after="36"/>
              <w:rPr/>
            </w:pPr>
            <w:r>
              <w:rPr/>
            </w:r>
          </w:p>
        </w:tc>
        <w:tc>
          <w:tcPr>
            <w:tcW w:w="1806" w:type="dxa"/>
            <w:tcBorders>
              <w:top w:val="single" w:sz="6" w:space="0" w:color="000001"/>
              <w:bottom w:val="single" w:sz="6" w:space="0" w:color="000001"/>
              <w:insideH w:val="single" w:sz="6" w:space="0" w:color="000001"/>
            </w:tcBorders>
            <w:shd w:fill="auto" w:val="clear"/>
          </w:tcPr>
          <w:p>
            <w:pPr>
              <w:pStyle w:val="Compact"/>
              <w:spacing w:before="36" w:after="36"/>
              <w:jc w:val="center"/>
              <w:rPr/>
            </w:pPr>
            <w:r>
              <w:rPr/>
              <w:t>***</w:t>
            </w:r>
          </w:p>
        </w:tc>
      </w:tr>
    </w:tbl>
    <w:p>
      <w:pPr>
        <w:pStyle w:val="Normal"/>
        <w:rPr/>
      </w:pPr>
      <w:r>
        <w:rPr/>
        <mc:AlternateContent>
          <mc:Choice Requires="wps">
            <w:drawing>
              <wp:inline distT="0" distB="0" distL="0" distR="0">
                <wp:extent cx="2540" cy="20955"/>
                <wp:effectExtent l="0" t="0" r="0" b="0"/>
                <wp:docPr id="6"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5" w:name="datuak-etiketatu-neurtu-eta-analizatu-3"/>
      <w:bookmarkEnd w:id="5"/>
      <w:r>
        <w:rPr/>
        <w:t>(Datuak etiketatu, neurtu eta) analizatu:</w:t>
      </w:r>
    </w:p>
    <w:p>
      <w:pPr>
        <w:pStyle w:val="FirstParagraph"/>
        <w:rPr/>
      </w:pPr>
      <w:r>
        <w:rPr/>
        <w:t>Aditz nagusian aurkitu diren zailtasunak, ez dagozkio Aditz Nagusiari, baizik eta Adizki laguntzaileei.</w:t>
      </w:r>
    </w:p>
    <w:p>
      <w:pPr>
        <w:pStyle w:val="2izenburua"/>
        <w:keepNext/>
        <w:keepLines/>
        <w:numPr>
          <w:ilvl w:val="0"/>
          <w:numId w:val="1"/>
        </w:numPr>
        <w:spacing w:before="454" w:after="227"/>
        <w:ind w:left="0" w:right="0" w:hanging="0"/>
        <w:outlineLvl w:val="1"/>
        <w:rPr/>
      </w:pPr>
      <w:r>
        <w:rPr/>
        <w:t>H</w:t>
      </w:r>
      <w:r>
        <w:rPr>
          <w:vertAlign w:val="subscript"/>
        </w:rPr>
        <w:t>1</w:t>
      </w:r>
      <w:r>
        <w:rPr/>
        <w:t>: Zalantza adierazleak eta adizki nagusiak independenteak dira ezezko esaldietan</w:t>
      </w:r>
    </w:p>
    <w:p>
      <w:pPr>
        <w:pStyle w:val="Testugorputza"/>
        <w:rPr/>
      </w:pPr>
      <w:r>
        <w:rPr/>
        <w:t>H</w:t>
      </w:r>
      <w:r>
        <w:rPr>
          <w:vertAlign w:val="subscript"/>
        </w:rPr>
        <w:t>2</w:t>
      </w:r>
      <w:r>
        <w:rPr/>
        <w:t>: Bat datoz zalantza adierazleen banaketak adizki laguntzaile zein trinkoen kasuetan.</w:t>
      </w:r>
    </w:p>
    <w:p>
      <w:pPr>
        <w:pStyle w:val="Testugorputza"/>
        <w:rPr/>
      </w:pPr>
      <w:r>
        <w:rPr/>
        <w:t>H</w:t>
      </w:r>
      <w:r>
        <w:rPr>
          <w:vertAlign w:val="subscript"/>
        </w:rPr>
        <w:t>3</w:t>
      </w:r>
      <w:r>
        <w:rPr/>
        <w:t>: Aditz nagusien aspektuetatik independentea da zalantza adierazleen banaketa</w:t>
      </w:r>
    </w:p>
    <w:p>
      <w:pPr>
        <w:pStyle w:val="Normal"/>
        <w:rPr/>
      </w:pPr>
      <w:r>
        <w:rPr/>
        <mc:AlternateContent>
          <mc:Choice Requires="wps">
            <w:drawing>
              <wp:inline distT="0" distB="0" distL="0" distR="0">
                <wp:extent cx="2540" cy="20955"/>
                <wp:effectExtent l="0" t="0" r="0" b="0"/>
                <wp:docPr id="7"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6" w:name="metodoa"/>
      <w:bookmarkEnd w:id="6"/>
      <w:r>
        <w:rPr/>
        <w:t>Metodoa</w:t>
      </w:r>
    </w:p>
    <w:p>
      <w:pPr>
        <w:pStyle w:val="FirstParagraph"/>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aren banaketaren hondarrak aztertu banaketaren nolakotasuna azaltzeko, datu kategorikoak begiz aztertzeko grafikoekin, Friendly(1994), R lengoaia estatistikorako Meiler, Zeileis eta Hornikek (2006) garatutako aplikazioarekin.</w:t>
      </w:r>
    </w:p>
    <w:p>
      <w:pPr>
        <w:pStyle w:val="Normal"/>
        <w:rPr/>
      </w:pPr>
      <w:r>
        <w:rPr/>
        <mc:AlternateContent>
          <mc:Choice Requires="wps">
            <w:drawing>
              <wp:inline distT="0" distB="0" distL="0" distR="0">
                <wp:extent cx="2540" cy="20955"/>
                <wp:effectExtent l="0" t="0" r="0" b="0"/>
                <wp:docPr id="8"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7" w:name="h1-zalantza-adierazleak-eta-adizki-nagus"/>
      <w:r>
        <w:rPr/>
        <w:t>H</w:t>
      </w:r>
      <w:r>
        <w:rPr>
          <w:vertAlign w:val="subscript"/>
        </w:rPr>
        <w:t>1</w:t>
      </w:r>
      <w:bookmarkEnd w:id="7"/>
      <w:r>
        <w:rPr/>
        <w:t>: Zalantza adierazleak eta adizki nagusiak independenteak dira ezezko esaldietan</w:t>
      </w:r>
    </w:p>
    <w:p>
      <w:pPr>
        <w:pStyle w:val="FirstParagraph"/>
        <w:rPr/>
      </w:pPr>
      <w:r>
        <w:rPr/>
        <w:drawing>
          <wp:inline distT="0" distB="0" distL="0" distR="0">
            <wp:extent cx="4620260" cy="369633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Normal"/>
        <w:rPr/>
      </w:pPr>
      <w:r>
        <w:rPr/>
        <mc:AlternateContent>
          <mc:Choice Requires="wps">
            <w:drawing>
              <wp:inline distT="0" distB="0" distL="0" distR="0">
                <wp:extent cx="2540" cy="20955"/>
                <wp:effectExtent l="0" t="0" r="0" b="0"/>
                <wp:docPr id="10"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8" w:name="h2-bat-datoz-zalantza-adierazleen-banake"/>
      <w:r>
        <w:rPr/>
        <w:t>H</w:t>
      </w:r>
      <w:r>
        <w:rPr>
          <w:vertAlign w:val="subscript"/>
        </w:rPr>
        <w:t>2</w:t>
      </w:r>
      <w:bookmarkEnd w:id="8"/>
      <w:r>
        <w:rPr/>
        <w:t>: Bat datoz zalantza adierazleen banaketak adizki laguntzaile zein trinkoen kasuetan.</w:t>
      </w:r>
    </w:p>
    <w:p>
      <w:pPr>
        <w:pStyle w:val="FirstParagraph"/>
        <w:rPr/>
      </w:pPr>
      <w:r>
        <w:rPr/>
        <w:drawing>
          <wp:inline distT="0" distB="0" distL="0" distR="0">
            <wp:extent cx="4620260" cy="3696335"/>
            <wp:effectExtent l="0" t="0" r="0" b="0"/>
            <wp:docPr id="11" name="Irudi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rudia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Normal"/>
        <w:rPr/>
      </w:pPr>
      <w:r>
        <w:rPr/>
        <mc:AlternateContent>
          <mc:Choice Requires="wps">
            <w:drawing>
              <wp:inline distT="0" distB="0" distL="0" distR="0">
                <wp:extent cx="2540" cy="20955"/>
                <wp:effectExtent l="0" t="0" r="0" b="0"/>
                <wp:docPr id="12"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9" w:name="h3-aditz-nagusien-aspektuetatik-independ"/>
      <w:r>
        <w:rPr/>
        <w:t>H</w:t>
      </w:r>
      <w:r>
        <w:rPr>
          <w:vertAlign w:val="subscript"/>
        </w:rPr>
        <w:t>3</w:t>
      </w:r>
      <w:bookmarkEnd w:id="9"/>
      <w:r>
        <w:rPr/>
        <w:t>: Aditz nagusien aspektuetatik independentea da zalantza adierazleen banaketa</w:t>
      </w:r>
    </w:p>
    <w:p>
      <w:pPr>
        <w:pStyle w:val="FirstParagraph"/>
        <w:rPr/>
      </w:pPr>
      <w:r>
        <w:rPr/>
        <w:drawing>
          <wp:inline distT="0" distB="0" distL="0" distR="0">
            <wp:extent cx="4620260" cy="3696335"/>
            <wp:effectExtent l="0" t="0" r="0" b="0"/>
            <wp:docPr id="13" name="Irudi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rudia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Normal"/>
        <w:rPr/>
      </w:pPr>
      <w:r>
        <w:rPr/>
        <mc:AlternateContent>
          <mc:Choice Requires="wps">
            <w:drawing>
              <wp:inline distT="0" distB="0" distL="0" distR="0">
                <wp:extent cx="2540" cy="20955"/>
                <wp:effectExtent l="0" t="0" r="0" b="0"/>
                <wp:docPr id="14"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10" w:name="ondorioz"/>
      <w:bookmarkEnd w:id="10"/>
      <w:r>
        <w:rPr/>
        <w:t>Ondorioz</w:t>
      </w:r>
    </w:p>
    <w:p>
      <w:pPr>
        <w:pStyle w:val="BlockText"/>
        <w:rPr/>
      </w:pPr>
      <w:r>
        <w:rPr/>
        <w:t>Aditz nagusiaren kokapena aditz laguntzaileak baldintzatzen duenez, hor agertzen dira zalantza adierazle gehien adizki laguntzaileak edo trinkoak baldintzatuta, eta ez aditz nagusiak berak edo aditz nagusia ahoskatzeko egin beharreko gramatika kodeketa.</w:t>
      </w:r>
    </w:p>
    <w:p>
      <w:pPr>
        <w:pStyle w:val="BlockText"/>
        <w:rPr/>
      </w:pPr>
      <w:r>
        <w:rPr/>
        <w:t>Zalantza ahoskatzean, eragilea prozesatzen ari dela suposatu behar da, emaitzen argitara. Antzeman ote daitezke, zalantzen kokapenaren arabera, zein diren horien eragileak? Beste hiztun batzuen ahozko jardunean ere aurkituko ditugu eaugarriok?</w:t>
      </w:r>
    </w:p>
    <w:p>
      <w:pPr>
        <w:pStyle w:val="Normal"/>
        <w:rPr/>
      </w:pPr>
      <w:r>
        <w:rPr/>
        <mc:AlternateContent>
          <mc:Choice Requires="wps">
            <w:drawing>
              <wp:inline distT="0" distB="0" distL="0" distR="0">
                <wp:extent cx="2540" cy="20955"/>
                <wp:effectExtent l="0" t="0" r="0" b="0"/>
                <wp:docPr id="15"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1izenburua"/>
        <w:keepNext/>
        <w:keepLines/>
        <w:numPr>
          <w:ilvl w:val="0"/>
          <w:numId w:val="1"/>
        </w:numPr>
        <w:spacing w:before="482" w:after="227"/>
        <w:ind w:left="0" w:right="0" w:hanging="0"/>
        <w:outlineLvl w:val="0"/>
        <w:rPr/>
      </w:pPr>
      <w:bookmarkStart w:id="11" w:name="erreferentziak"/>
      <w:bookmarkEnd w:id="11"/>
      <w:r>
        <w:rPr/>
        <w:t>Erreferentziak</w:t>
      </w:r>
    </w:p>
    <w:p>
      <w:pPr>
        <w:pStyle w:val="Bibliography"/>
        <w:rPr/>
      </w:pPr>
      <w:r>
        <w:rPr/>
        <w:t xml:space="preserve">Abasolo, J. (2015a). Adizki jokatuen sailkapen hirukoitza: Zailtasunak, etenak eta erroreak. In </w:t>
      </w:r>
      <w:r>
        <w:rPr>
          <w:i/>
        </w:rPr>
        <w:t>Nuevos retos en la investigación en Psicodidáctica - Psikodidaktikako ikerkuntzaren erronka berriak</w:t>
      </w:r>
      <w:r>
        <w:rPr/>
        <w:t xml:space="preserve"> (6–20. orr.). Leioa: Argitarapen Zerbitzua, UPV/EHU.</w:t>
      </w:r>
    </w:p>
    <w:p>
      <w:pPr>
        <w:pStyle w:val="Bibliography"/>
        <w:rPr/>
      </w:pPr>
      <w:r>
        <w:rPr/>
        <w:t xml:space="preserve">Friendly, M. (1994). Mosaic Displays for Multi-Way Contingency Tables. </w:t>
      </w:r>
      <w:r>
        <w:rPr>
          <w:i/>
        </w:rPr>
        <w:t>Journal of the American Statistical Association</w:t>
      </w:r>
      <w:r>
        <w:rPr/>
        <w:t xml:space="preserve">, 89(425), 190. </w:t>
      </w:r>
      <w:hyperlink r:id="rId5">
        <w:r>
          <w:rPr>
            <w:rStyle w:val="Internetesteka"/>
          </w:rPr>
          <w:t>https://doi.org/10.2307/2291215</w:t>
        </w:r>
      </w:hyperlink>
    </w:p>
    <w:p>
      <w:pPr>
        <w:pStyle w:val="Bibliography"/>
        <w:rPr/>
      </w:pPr>
      <w:r>
        <w:rPr/>
        <w:t xml:space="preserve">Levelt, W. J. M. (1989). </w:t>
      </w:r>
      <w:r>
        <w:rPr>
          <w:i/>
        </w:rPr>
        <w:t>Speaking: From intention to articulation</w:t>
      </w:r>
      <w:r>
        <w:rPr/>
        <w:t>. Cambridge: The MIT Press.</w:t>
      </w:r>
    </w:p>
    <w:p>
      <w:pPr>
        <w:pStyle w:val="Bibliography"/>
        <w:rPr/>
      </w:pPr>
      <w:r>
        <w:rPr/>
        <w:t xml:space="preserve">Meyer, D., Zeileis, A., &amp; Hornik, K. (2006). The Strucplot Framework: Visualizing Multi-way Contingency Tables with vcd. </w:t>
      </w:r>
      <w:r>
        <w:rPr>
          <w:i/>
        </w:rPr>
        <w:t>Journal of Statistical Software</w:t>
      </w:r>
      <w:r>
        <w:rPr/>
        <w:t xml:space="preserve">, 17(3). </w:t>
      </w:r>
      <w:hyperlink r:id="rId6">
        <w:r>
          <w:rPr>
            <w:rStyle w:val="Internetesteka"/>
          </w:rPr>
          <w:t>https://doi.org/10.18637/jss.v017.i03</w:t>
        </w:r>
      </w:hyperlink>
    </w:p>
    <w:p>
      <w:pPr>
        <w:pStyle w:val="Bibliography"/>
        <w:rPr/>
      </w:pPr>
      <w:r>
        <w:rPr/>
        <w:t xml:space="preserve">Segalowitz, N. (2010). </w:t>
      </w:r>
      <w:r>
        <w:rPr>
          <w:i/>
        </w:rPr>
        <w:t>Cognitive Bases of Second Language Fluency</w:t>
      </w:r>
      <w:r>
        <w:rPr/>
        <w:t>. New York: Routledge.</w:t>
      </w:r>
    </w:p>
    <w:p>
      <w:pPr>
        <w:pStyle w:val="Bibliography"/>
        <w:spacing w:lineRule="auto" w:line="360" w:before="0" w:after="57"/>
        <w:ind w:left="567" w:right="0" w:hanging="567"/>
        <w:rPr/>
      </w:pPr>
      <w:bookmarkStart w:id="12" w:name="euskara-h2-berantiarrean-zailtasunak-adi"/>
      <w:bookmarkEnd w:id="12"/>
      <w:r>
        <w:rPr/>
        <mc:AlternateContent>
          <mc:Choice Requires="wps">
            <w:drawing>
              <wp:inline distT="0" distB="0" distL="0" distR="0">
                <wp:extent cx="2540" cy="20955"/>
                <wp:effectExtent l="0" t="0" r="0" b="0"/>
                <wp:docPr id="16"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sectPr>
      <w:footerReference w:type="default" r:id="rId7"/>
      <w:type w:val="nextPage"/>
      <w:pgSz w:w="11906" w:h="16838"/>
      <w:pgMar w:left="1440" w:right="1440" w:header="0" w:top="1440" w:footer="709" w:bottom="122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397"/>
        </w:tabs>
        <w:ind w:left="754" w:hanging="754"/>
      </w:pPr>
    </w:lvl>
    <w:lvl w:ilvl="1">
      <w:start w:val="1"/>
      <w:numFmt w:val="decimal"/>
      <w:lvlText w:val=" %1.%2."/>
      <w:lvlJc w:val="left"/>
      <w:pPr>
        <w:tabs>
          <w:tab w:val="num" w:pos="794"/>
        </w:tabs>
        <w:ind w:left="1151" w:hanging="1151"/>
      </w:pPr>
    </w:lvl>
    <w:lvl w:ilvl="2">
      <w:start w:val="1"/>
      <w:numFmt w:val="lowerLetter"/>
      <w:lvlText w:val=" %3)"/>
      <w:lvlJc w:val="left"/>
      <w:pPr>
        <w:tabs>
          <w:tab w:val="num" w:pos="1191"/>
        </w:tabs>
        <w:ind w:left="1548" w:hanging="397"/>
      </w:pPr>
    </w:lvl>
    <w:lvl w:ilvl="3">
      <w:start w:val="1"/>
      <w:numFmt w:val="bullet"/>
      <w:lvlText w:val=""/>
      <w:lvlJc w:val="left"/>
      <w:pPr>
        <w:tabs>
          <w:tab w:val="num" w:pos="1588"/>
        </w:tabs>
        <w:ind w:left="1945" w:hanging="397"/>
      </w:pPr>
      <w:rPr>
        <w:rFonts w:ascii="Symbol" w:hAnsi="Symbol" w:cs="Symbol" w:hint="default"/>
        <w:rFonts w:cs="OpenSymbol"/>
      </w:rPr>
    </w:lvl>
    <w:lvl w:ilvl="4">
      <w:start w:val="1"/>
      <w:numFmt w:val="bullet"/>
      <w:lvlText w:val=""/>
      <w:lvlJc w:val="left"/>
      <w:pPr>
        <w:tabs>
          <w:tab w:val="num" w:pos="1985"/>
        </w:tabs>
        <w:ind w:left="2342" w:hanging="397"/>
      </w:pPr>
      <w:rPr>
        <w:rFonts w:ascii="Symbol" w:hAnsi="Symbol" w:cs="Symbol" w:hint="default"/>
        <w:rFonts w:cs="OpenSymbol"/>
      </w:rPr>
    </w:lvl>
    <w:lvl w:ilvl="5">
      <w:start w:val="1"/>
      <w:numFmt w:val="bullet"/>
      <w:lvlText w:val=""/>
      <w:lvlJc w:val="left"/>
      <w:pPr>
        <w:tabs>
          <w:tab w:val="num" w:pos="2381"/>
        </w:tabs>
        <w:ind w:left="2738" w:hanging="397"/>
      </w:pPr>
      <w:rPr>
        <w:rFonts w:ascii="Symbol" w:hAnsi="Symbol" w:cs="Symbol" w:hint="default"/>
        <w:rFonts w:cs="OpenSymbol"/>
      </w:rPr>
    </w:lvl>
    <w:lvl w:ilvl="6">
      <w:start w:val="1"/>
      <w:numFmt w:val="bullet"/>
      <w:lvlText w:val=""/>
      <w:lvlJc w:val="left"/>
      <w:pPr>
        <w:tabs>
          <w:tab w:val="num" w:pos="2778"/>
        </w:tabs>
        <w:ind w:left="3135" w:hanging="397"/>
      </w:pPr>
      <w:rPr>
        <w:rFonts w:ascii="Symbol" w:hAnsi="Symbol" w:cs="Symbol" w:hint="default"/>
        <w:rFonts w:cs="OpenSymbol"/>
      </w:rPr>
    </w:lvl>
    <w:lvl w:ilvl="7">
      <w:start w:val="1"/>
      <w:numFmt w:val="bullet"/>
      <w:lvlText w:val=""/>
      <w:lvlJc w:val="left"/>
      <w:pPr>
        <w:tabs>
          <w:tab w:val="num" w:pos="3175"/>
        </w:tabs>
        <w:ind w:left="3532" w:hanging="397"/>
      </w:pPr>
      <w:rPr>
        <w:rFonts w:ascii="Symbol" w:hAnsi="Symbol" w:cs="Symbol" w:hint="default"/>
        <w:rFonts w:cs="OpenSymbol"/>
      </w:rPr>
    </w:lvl>
    <w:lvl w:ilvl="8">
      <w:start w:val="1"/>
      <w:numFmt w:val="bullet"/>
      <w:lvlText w:val=""/>
      <w:lvlJc w:val="left"/>
      <w:pPr>
        <w:tabs>
          <w:tab w:val="num" w:pos="3572"/>
        </w:tabs>
        <w:ind w:left="3929" w:hanging="397"/>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00000A"/>
      <w:sz w:val="24"/>
      <w:szCs w:val="24"/>
      <w:lang w:val="eu-ES" w:eastAsia="en-US" w:bidi="ar-SA"/>
    </w:rPr>
  </w:style>
  <w:style w:type="paragraph" w:styleId="1izenburua">
    <w:name w:val="Heading 1"/>
    <w:basedOn w:val="Normal"/>
    <w:uiPriority w:val="9"/>
    <w:qFormat/>
    <w:pPr>
      <w:keepNext/>
      <w:keepLines/>
      <w:spacing w:before="482" w:after="227"/>
      <w:ind w:left="0" w:right="0" w:hanging="0"/>
      <w:outlineLvl w:val="0"/>
    </w:pPr>
    <w:rPr>
      <w:rFonts w:ascii="Times New Roman" w:hAnsi="Times New Roman" w:eastAsia="" w:cs="" w:cstheme="majorBidi" w:eastAsiaTheme="majorEastAsia"/>
      <w:b/>
      <w:bCs/>
      <w:i w:val="false"/>
      <w:color w:val="00000A" w:themeShade="b5"/>
      <w:sz w:val="24"/>
      <w:szCs w:val="32"/>
    </w:rPr>
  </w:style>
  <w:style w:type="paragraph" w:styleId="2izenburua">
    <w:name w:val="Heading 2"/>
    <w:basedOn w:val="Normal"/>
    <w:uiPriority w:val="9"/>
    <w:unhideWhenUsed/>
    <w:qFormat/>
    <w:pPr>
      <w:keepNext/>
      <w:keepLines/>
      <w:spacing w:before="454" w:after="227"/>
      <w:ind w:left="0" w:right="0" w:hanging="0"/>
      <w:outlineLvl w:val="1"/>
    </w:pPr>
    <w:rPr>
      <w:rFonts w:ascii="Times New Roman" w:hAnsi="Times New Roman" w:eastAsia="" w:cs="" w:cstheme="majorBidi" w:eastAsiaTheme="majorEastAsia"/>
      <w:b w:val="false"/>
      <w:bCs/>
      <w:i/>
      <w:color w:val="00000A"/>
      <w:sz w:val="24"/>
      <w:szCs w:val="32"/>
    </w:rPr>
  </w:style>
  <w:style w:type="paragraph" w:styleId="3izenburua">
    <w:name w:val="Heading 3"/>
    <w:basedOn w:val="Normal"/>
    <w:uiPriority w:val="9"/>
    <w:unhideWhenUsed/>
    <w:qFormat/>
    <w:pPr>
      <w:keepNext/>
      <w:keepLines/>
      <w:spacing w:before="454" w:after="227"/>
      <w:ind w:left="0" w:right="0" w:hanging="0"/>
      <w:outlineLvl w:val="2"/>
    </w:pPr>
    <w:rPr>
      <w:rFonts w:ascii="Times New Roman" w:hAnsi="Times New Roman" w:eastAsia="" w:cs="" w:cstheme="majorBidi" w:eastAsiaTheme="majorEastAsia"/>
      <w:b w:val="false"/>
      <w:bCs/>
      <w:color w:val="00000A"/>
      <w:sz w:val="24"/>
      <w:szCs w:val="28"/>
    </w:rPr>
  </w:style>
  <w:style w:type="paragraph" w:styleId="4izenburua">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paragraph" w:styleId="Izenburua">
    <w:name w:val="Izenburua"/>
    <w:basedOn w:val="Normal"/>
    <w:next w:val="Testugorputza"/>
    <w:qFormat/>
    <w:pPr>
      <w:keepNext/>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qFormat/>
    <w:pPr>
      <w:ind w:left="0" w:right="0" w:firstLine="567"/>
    </w:pPr>
    <w:rPr/>
  </w:style>
  <w:style w:type="paragraph" w:styleId="Compact" w:customStyle="1">
    <w:name w:val="Compact"/>
    <w:basedOn w:val="Testugorputza"/>
    <w:qFormat/>
    <w:pPr>
      <w:spacing w:before="36" w:after="36"/>
      <w:ind w:left="0" w:right="0" w:hanging="0"/>
    </w:pPr>
    <w:rPr>
      <w:sz w:val="20"/>
    </w:rPr>
  </w:style>
  <w:style w:type="paragraph" w:styleId="Titulua">
    <w:name w:val="Title"/>
    <w:basedOn w:val="Normal"/>
    <w:qFormat/>
    <w:pPr>
      <w:keepNext/>
      <w:keepLines/>
      <w:spacing w:before="480" w:after="240"/>
      <w:jc w:val="center"/>
    </w:pPr>
    <w:rPr>
      <w:rFonts w:ascii="Times New Roman" w:hAnsi="Times New Roman" w:eastAsia="" w:cs="" w:cstheme="majorBidi" w:eastAsiaTheme="majorEastAsia"/>
      <w:b/>
      <w:bCs/>
      <w:color w:val="00000A" w:themeShade="b5"/>
      <w:sz w:val="24"/>
      <w:szCs w:val="36"/>
    </w:rPr>
  </w:style>
  <w:style w:type="paragraph" w:styleId="Azpititulua">
    <w:name w:val="Subtitle"/>
    <w:basedOn w:val="Titulua"/>
    <w:qFormat/>
    <w:pPr>
      <w:keepNext/>
      <w:keepLines/>
      <w:spacing w:before="240" w:after="240"/>
      <w:jc w:val="center"/>
    </w:pPr>
    <w:rPr>
      <w:sz w:val="30"/>
      <w:szCs w:val="30"/>
    </w:rPr>
  </w:style>
  <w:style w:type="paragraph" w:styleId="Author" w:customStyle="1">
    <w:name w:val="Author"/>
    <w:qFormat/>
    <w:pPr>
      <w:keepNext/>
      <w:keepLines/>
      <w:widowControl/>
      <w:bidi w:val="0"/>
      <w:spacing w:before="567" w:after="0"/>
      <w:ind w:left="57" w:right="0" w:hanging="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before="0" w:after="57"/>
      <w:ind w:left="567" w:right="0" w:hanging="567"/>
    </w:pPr>
    <w:rPr/>
  </w:style>
  <w:style w:type="paragraph" w:styleId="BlockText">
    <w:name w:val="Block Text"/>
    <w:basedOn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outlineLvl w:val="0"/>
    </w:pPr>
    <w:rPr>
      <w:sz w:val="20"/>
    </w:rPr>
  </w:style>
  <w:style w:type="paragraph" w:styleId="TOCHeading">
    <w:name w:val="TOC Heading"/>
    <w:basedOn w:val="1izenburu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numbering" w:styleId="Numerazioa123">
    <w:name w:val="Numerazioa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2307/2291215" TargetMode="External"/><Relationship Id="rId6" Type="http://schemas.openxmlformats.org/officeDocument/2006/relationships/hyperlink" Target="https://doi.org/10.18637/jss.v017.i03"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6</Pages>
  <Words>465</Words>
  <Characters>3163</Characters>
  <CharactersWithSpaces>3545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2018-07-13T13:22:06Z</dcterms:created>
  <dc:creator>Juan Abasolo</dc:creator>
  <dc:description/>
  <dc:language>en-GB</dc:language>
  <cp:lastModifiedBy>Juan Abasolo</cp:lastModifiedBy>
  <dcterms:modified xsi:type="dcterms:W3CDTF">2018-08-09T22:31:25Z</dcterms:modified>
  <cp:revision>4</cp:revision>
  <dc:subject/>
  <dc:title>Artikulurantza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