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595959"/>
          <w:sz w:val="26"/>
        </w:rPr>
        <w:t>UNIVERSIDAD PERUANA</w:t>
      </w:r>
    </w:p>
    <w:p>
      <w:pPr>
        <w:jc w:val="center"/>
      </w:pPr>
      <w:r>
        <w:rPr>
          <w:color w:val="595959"/>
          <w:sz w:val="22"/>
        </w:rPr>
        <w:t>Escuela de Ingeniería de Software</w:t>
      </w:r>
    </w:p>
    <w:p/>
    <w:p>
      <w:pPr>
        <w:jc w:val="center"/>
      </w:pPr>
      <w:r>
        <w:rPr>
          <w:b/>
          <w:color w:val="0070C0"/>
          <w:sz w:val="22"/>
        </w:rPr>
        <w:t>LABORATORIO 03</w:t>
      </w:r>
    </w:p>
    <w:p>
      <w:pPr>
        <w:jc w:val="center"/>
      </w:pPr>
      <w:r>
        <w:rPr>
          <w:b/>
          <w:color w:val="0070C0"/>
          <w:sz w:val="22"/>
        </w:rPr>
        <w:t>Análisis de Demanda del Mercado</w:t>
      </w:r>
    </w:p>
    <w:p/>
    <w:p>
      <w:pPr>
        <w:jc w:val="center"/>
      </w:pPr>
      <w:r>
        <w:rPr>
          <w:b/>
          <w:color w:val="7030A0"/>
          <w:sz w:val="44"/>
        </w:rPr>
        <w:t>CASO 3</w:t>
      </w:r>
    </w:p>
    <w:p>
      <w:pPr>
        <w:jc w:val="center"/>
      </w:pPr>
      <w:r>
        <w:rPr>
          <w:b/>
          <w:color w:val="7030A0"/>
          <w:sz w:val="52"/>
        </w:rPr>
        <w:t>LegendaryClass</w:t>
      </w:r>
    </w:p>
    <w:p>
      <w:pPr>
        <w:jc w:val="center"/>
      </w:pPr>
      <w:r>
        <w:rPr>
          <w:color w:val="595959"/>
          <w:sz w:val="26"/>
        </w:rPr>
        <w:t>Sistema SaaS de Gamificación Educativa</w:t>
      </w:r>
    </w:p>
    <w:p/>
    <w:p/>
    <w:p>
      <w:pPr>
        <w:jc w:val="center"/>
      </w:pPr>
      <w:r>
        <w:rPr>
          <w:color w:val="595959"/>
          <w:sz w:val="20"/>
        </w:rPr>
        <w:t>Alumno: Juan Aguirre  |  Docente: Lturkowsky  |  2026 - I</w:t>
      </w:r>
    </w:p>
    <w:p>
      <w:r>
        <w:br w:type="page"/>
      </w:r>
    </w:p>
    <w:p>
      <w:pPr>
        <w:spacing w:before="240" w:after="80"/>
        <w:jc w:val="left"/>
      </w:pPr>
      <w:r>
        <w:rPr>
          <w:b/>
          <w:color w:val="7030A0"/>
          <w:sz w:val="32"/>
        </w:rPr>
        <w:t>1. Descripción del Producto / Servicio</w:t>
      </w:r>
    </w:p>
    <w:p>
      <w:pPr>
        <w:spacing w:after="80"/>
      </w:pPr>
      <w:r>
        <w:rPr>
          <w:b w:val="0"/>
          <w:color w:val="1F1F1F"/>
          <w:sz w:val="21"/>
        </w:rPr>
        <w:t>LegendaryClass es una plataforma SaaS de gamificación educativa orientada a docentes de educación básica y superior. Transforma el aula en una experiencia de juego de rol (RPG): los estudiantes eligen clases (Mago, Guerrero, Ninja, Arquero, Lanzador), acumulan puntos de experiencia (XP), suben de nivel, completan misiones y canjean recompensas definidas por el docente.</w:t>
      </w:r>
    </w:p>
    <w:p>
      <w:pPr>
        <w:spacing w:after="80"/>
      </w:pPr>
      <w:r>
        <w:rPr>
          <w:b w:val="0"/>
          <w:color w:val="1F1F1F"/>
          <w:sz w:val="21"/>
        </w:rPr>
        <w:t>El docente gestiona grupos, asigna comportamientos positivos o negativos, configura misiones y recompensas, y obtiene reportes de progreso. El director de institución supervisa estadísticas globales. La plataforma se entrega como aplicación web (Angular 18 + NestJS + PostgreSQL) accesible desde cualquier dispositivo con navegador.</w:t>
      </w:r>
    </w:p>
    <w:p>
      <w:pPr>
        <w:spacing w:before="240" w:after="80"/>
        <w:jc w:val="left"/>
      </w:pPr>
      <w:r>
        <w:rPr>
          <w:b/>
          <w:color w:val="0070C0"/>
          <w:sz w:val="26"/>
        </w:rPr>
        <w:t>Características principales</w:t>
      </w:r>
    </w:p>
    <w:p>
      <w:pPr>
        <w:pStyle w:val="ListBullet"/>
        <w:spacing w:after="40"/>
      </w:pPr>
      <w:r>
        <w:rPr>
          <w:color w:val="1F1F1F"/>
          <w:sz w:val="21"/>
        </w:rPr>
        <w:t>5 clases de personaje con bonificaciones de XP (+20 %) por tipo de acción</w:t>
      </w:r>
    </w:p>
    <w:p>
      <w:pPr>
        <w:pStyle w:val="ListBullet"/>
        <w:spacing w:after="40"/>
      </w:pPr>
      <w:r>
        <w:rPr>
          <w:color w:val="1F1F1F"/>
          <w:sz w:val="21"/>
        </w:rPr>
        <w:t>Motor de gamificación: niveles, racha diaria, logros automáticos, misiones</w:t>
      </w:r>
    </w:p>
    <w:p>
      <w:pPr>
        <w:pStyle w:val="ListBullet"/>
        <w:spacing w:after="40"/>
      </w:pPr>
      <w:r>
        <w:rPr>
          <w:color w:val="1F1F1F"/>
          <w:sz w:val="21"/>
        </w:rPr>
        <w:t>Panel del docente: registro de comportamientos, gestión de recompensas y misiones</w:t>
      </w:r>
    </w:p>
    <w:p>
      <w:pPr>
        <w:pStyle w:val="ListBullet"/>
        <w:spacing w:after="40"/>
      </w:pPr>
      <w:r>
        <w:rPr>
          <w:color w:val="1F1F1F"/>
          <w:sz w:val="21"/>
        </w:rPr>
        <w:t>Panel del director: reportes institucionales y estadísticas agregadas</w:t>
      </w:r>
    </w:p>
    <w:p>
      <w:pPr>
        <w:pStyle w:val="ListBullet"/>
        <w:spacing w:after="40"/>
      </w:pPr>
      <w:r>
        <w:rPr>
          <w:color w:val="1F1F1F"/>
          <w:sz w:val="21"/>
        </w:rPr>
        <w:t>Portal del padre de familia: seguimiento del progreso del estudiante</w:t>
      </w:r>
    </w:p>
    <w:p>
      <w:pPr>
        <w:pStyle w:val="ListBullet"/>
        <w:spacing w:after="40"/>
      </w:pPr>
      <w:r>
        <w:rPr>
          <w:color w:val="1F1F1F"/>
          <w:sz w:val="21"/>
        </w:rPr>
        <w:t>Importación masiva de estudiantes vía Excel</w:t>
      </w:r>
    </w:p>
    <w:p>
      <w:pPr>
        <w:pStyle w:val="ListBullet"/>
        <w:spacing w:after="40"/>
      </w:pPr>
      <w:r>
        <w:rPr>
          <w:color w:val="1F1F1F"/>
          <w:sz w:val="21"/>
        </w:rPr>
        <w:t>API REST documentada (NestJS + Swagger)</w:t>
      </w:r>
    </w:p>
    <w:p>
      <w:pPr>
        <w:pStyle w:val="ListBullet"/>
        <w:spacing w:after="40"/>
      </w:pPr>
      <w:r>
        <w:rPr>
          <w:color w:val="1F1F1F"/>
          <w:sz w:val="21"/>
        </w:rPr>
        <w:t>Precio de lanzamiento: suscripción mensual por docente (S/. 30 – S/. 85 / mes)</w:t>
      </w:r>
    </w:p>
    <w:p>
      <w:pPr>
        <w:spacing w:before="240" w:after="80"/>
        <w:jc w:val="left"/>
      </w:pPr>
      <w:r>
        <w:rPr>
          <w:b/>
          <w:color w:val="7030A0"/>
          <w:sz w:val="32"/>
        </w:rPr>
        <w:t>2. Objetivo del Estudio de Demanda</w:t>
      </w:r>
    </w:p>
    <w:p>
      <w:pPr>
        <w:spacing w:after="80"/>
      </w:pPr>
      <w:r>
        <w:rPr>
          <w:b w:val="0"/>
          <w:color w:val="1F1F1F"/>
          <w:sz w:val="21"/>
        </w:rPr>
        <w:t>Determinar el tamaño del mercado objetivo de LegendaryClass en Lima Metropolitana para el año de lanzamiento (2027) y proyectar los ingresos potenciales en un horizonte de 5 años (2027–2031), bajo tres escenarios de penetración de mercado.</w:t>
      </w:r>
    </w:p>
    <w:p>
      <w:pPr>
        <w:spacing w:before="240" w:after="80"/>
        <w:jc w:val="left"/>
      </w:pPr>
      <w:r>
        <w:rPr>
          <w:b/>
          <w:color w:val="7030A0"/>
          <w:sz w:val="32"/>
        </w:rPr>
        <w:t>3. Metodología</w:t>
      </w:r>
    </w:p>
    <w:p>
      <w:pPr>
        <w:spacing w:after="80"/>
      </w:pPr>
      <w:r>
        <w:rPr>
          <w:b w:val="0"/>
          <w:color w:val="1F1F1F"/>
          <w:sz w:val="21"/>
        </w:rPr>
        <w:t>Se aplicó una encuesta digital de 20 preguntas (Google Forms) a 100 docentes de instituciones educativas de Lima Metropolitana entre febrero y marzo de 2026. El cuestionario abarcó: perfil del encuestado, nivel de motivación estudiantil percibido, experiencia con herramientas digitales, disposición de implementar gamificación y disposición de pago.</w:t>
      </w:r>
    </w:p>
    <w:p>
      <w:pPr>
        <w:spacing w:after="80"/>
      </w:pPr>
      <w:r>
        <w:rPr>
          <w:b w:val="0"/>
          <w:color w:val="1F1F1F"/>
          <w:sz w:val="21"/>
        </w:rPr>
        <w:t>El análisis de demanda sigue el modelo de segmentación en cascada utilizado en el laboratorio:</w:t>
      </w:r>
    </w:p>
    <w:p>
      <w:pPr>
        <w:pStyle w:val="ListBullet"/>
        <w:spacing w:after="40"/>
      </w:pPr>
      <w:r>
        <w:rPr>
          <w:color w:val="1F1F1F"/>
          <w:sz w:val="21"/>
        </w:rPr>
        <w:t>Mercado Potencial → Mercado Disponible → Mercado Efectivo → Mercado Objetivo</w:t>
      </w:r>
    </w:p>
    <w:p>
      <w:pPr>
        <w:spacing w:after="80"/>
      </w:pPr>
      <w:r>
        <w:rPr>
          <w:b w:val="0"/>
          <w:color w:val="1F1F1F"/>
          <w:sz w:val="21"/>
        </w:rPr>
        <w:t>El precio de venta se calcula como promedio ponderado de los rangos de disposición de pago reportados en la encuesta (Q17), considerando únicamente a los 61 respondentes que afirmaron tener intención definitiva de pago.</w:t>
      </w:r>
    </w:p>
    <w:p>
      <w:pPr>
        <w:spacing w:before="240" w:after="80"/>
        <w:jc w:val="left"/>
      </w:pPr>
      <w:r>
        <w:rPr>
          <w:b/>
          <w:color w:val="7030A0"/>
          <w:sz w:val="32"/>
        </w:rPr>
        <w:t>4. Segmentación de Mercado (Sección 9)</w:t>
      </w:r>
    </w:p>
    <w:p>
      <w:pPr>
        <w:spacing w:before="240" w:after="80"/>
        <w:jc w:val="left"/>
      </w:pPr>
      <w:r>
        <w:rPr>
          <w:b/>
          <w:color w:val="0070C0"/>
          <w:sz w:val="26"/>
        </w:rPr>
        <w:t>4.1 Mercado Potencial</w:t>
      </w:r>
    </w:p>
    <w:p>
      <w:pPr>
        <w:spacing w:after="80"/>
      </w:pPr>
      <w:r>
        <w:rPr>
          <w:b w:val="0"/>
          <w:color w:val="1F1F1F"/>
          <w:sz w:val="21"/>
        </w:rPr>
        <w:t>Según el Ministerio de Educación del Perú (MINEDU, 2024), Lima Metropolitana cuenta con aproximadamente 185,000 docentes activos en instituciones de educación básica regular (EBR) y educación superior. Este universo constituye el mercado potencial del producto.</w:t>
      </w:r>
    </w:p>
    <w:p>
      <w:pPr>
        <w:spacing w:before="240" w:after="80"/>
        <w:jc w:val="left"/>
      </w:pPr>
      <w:r>
        <w:rPr>
          <w:b/>
          <w:color w:val="0070C0"/>
          <w:sz w:val="26"/>
        </w:rPr>
        <w:t>4.2 Mercado Disponible</w:t>
      </w:r>
    </w:p>
    <w:p>
      <w:pPr>
        <w:spacing w:after="80"/>
      </w:pPr>
      <w:r>
        <w:rPr>
          <w:b w:val="0"/>
          <w:color w:val="1F1F1F"/>
          <w:sz w:val="21"/>
        </w:rPr>
        <w:t>De la encuesta, el 96 % de los encuestados indicó trabajar actualmente en una institución educativa (Q4). Se aplica este porcentaje como filtro de elegibilidad:</w:t>
      </w:r>
    </w:p>
    <w:p>
      <w:pPr>
        <w:spacing w:after="80"/>
      </w:pPr>
      <w:r>
        <w:rPr>
          <w:b/>
          <w:color w:val="1F1F1F"/>
          <w:sz w:val="21"/>
        </w:rPr>
        <w:t>Mercado Disponible = 185,000 × 96 % = 177,600 docentes</w:t>
      </w:r>
    </w:p>
    <w:p>
      <w:pPr>
        <w:spacing w:before="240" w:after="80"/>
        <w:jc w:val="left"/>
      </w:pPr>
      <w:r>
        <w:rPr>
          <w:b/>
          <w:color w:val="0070C0"/>
          <w:sz w:val="26"/>
        </w:rPr>
        <w:t>4.3 Mercado Efectivo</w:t>
      </w:r>
    </w:p>
    <w:p>
      <w:pPr>
        <w:spacing w:after="80"/>
      </w:pPr>
      <w:r>
        <w:rPr>
          <w:b w:val="0"/>
          <w:color w:val="1F1F1F"/>
          <w:sz w:val="21"/>
        </w:rPr>
        <w:t>Se consideró como condición de efectividad que el docente perciba baja motivación en sus estudiantes de forma frecuente o siempre (Q6: «¿Con qué frecuencia observas baja motivación en tus estudiantes?»). El 22 % respondió «Siempre» y el 36 % «Frecuentemente», sumando 58 %:</w:t>
      </w:r>
    </w:p>
    <w:p>
      <w:pPr>
        <w:spacing w:after="80"/>
      </w:pPr>
      <w:r>
        <w:rPr>
          <w:b/>
          <w:color w:val="1F1F1F"/>
          <w:sz w:val="21"/>
        </w:rPr>
        <w:t>Mercado Efectivo = 177,600 × 58 % = 103,008 docentes</w:t>
      </w:r>
    </w:p>
    <w:p>
      <w:pPr>
        <w:spacing w:before="240" w:after="80"/>
        <w:jc w:val="left"/>
      </w:pPr>
      <w:r>
        <w:rPr>
          <w:b/>
          <w:color w:val="0070C0"/>
          <w:sz w:val="26"/>
        </w:rPr>
        <w:t>4.4 Mercado Objetivo</w:t>
      </w:r>
    </w:p>
    <w:p>
      <w:pPr>
        <w:spacing w:after="80"/>
      </w:pPr>
      <w:r>
        <w:rPr>
          <w:b w:val="0"/>
          <w:color w:val="1F1F1F"/>
          <w:sz w:val="21"/>
        </w:rPr>
        <w:t>Finalmente, el 80 % de los respondentes afirmó estar dispuesto a implementar una solución de gamificación en su aula (Q13):</w:t>
      </w:r>
    </w:p>
    <w:p>
      <w:pPr>
        <w:spacing w:after="80"/>
      </w:pPr>
      <w:r>
        <w:rPr>
          <w:b/>
          <w:color w:val="1F1F1F"/>
          <w:sz w:val="21"/>
        </w:rPr>
        <w:t>Mercado Objetivo = 103,008 × 80 % = 82,406 docentes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0070C0"/>
          </w:tcPr>
          <w:p>
            <w:r>
              <w:rPr>
                <w:b/>
                <w:color w:val="FFFFFF"/>
              </w:rPr>
              <w:t>Segmento</w:t>
            </w:r>
          </w:p>
        </w:tc>
        <w:tc>
          <w:tcPr>
            <w:tcW w:type="dxa" w:w="2280"/>
            <w:shd w:val="clear" w:color="auto" w:fill="0070C0"/>
          </w:tcPr>
          <w:p>
            <w:r>
              <w:rPr>
                <w:b/>
                <w:color w:val="FFFFFF"/>
              </w:rPr>
              <w:t>Criterio de Filtro</w:t>
            </w:r>
          </w:p>
        </w:tc>
        <w:tc>
          <w:tcPr>
            <w:tcW w:type="dxa" w:w="2280"/>
            <w:shd w:val="clear" w:color="auto" w:fill="0070C0"/>
          </w:tcPr>
          <w:p>
            <w:r>
              <w:rPr>
                <w:b/>
                <w:color w:val="FFFFFF"/>
              </w:rPr>
              <w:t>Factor</w:t>
            </w:r>
          </w:p>
        </w:tc>
        <w:tc>
          <w:tcPr>
            <w:tcW w:type="dxa" w:w="2280"/>
            <w:shd w:val="clear" w:color="auto" w:fill="0070C0"/>
          </w:tcPr>
          <w:p>
            <w:r>
              <w:rPr>
                <w:b/>
                <w:color w:val="FFFFFF"/>
              </w:rPr>
              <w:t>Tamaño (docentes)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t>Potencial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Docentes activos en Lima Met.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185,000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t>Disponible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Trabajan en institución educativa (Q4)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96 %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177,600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t>Efectivo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Perciben baja motivación frecuente (Q6)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58 %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103,008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t>Objetivo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Dispuestos a implementar solución (Q13)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80 %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82,406</w:t>
            </w:r>
          </w:p>
        </w:tc>
      </w:tr>
    </w:tbl>
    <w:p>
      <w:pPr>
        <w:spacing w:before="240" w:after="80"/>
        <w:jc w:val="left"/>
      </w:pPr>
      <w:r>
        <w:rPr>
          <w:b/>
          <w:color w:val="7030A0"/>
          <w:sz w:val="32"/>
        </w:rPr>
        <w:t>5. Análisis de Precio (Sección 10)</w:t>
      </w:r>
    </w:p>
    <w:p>
      <w:pPr>
        <w:spacing w:after="80"/>
      </w:pPr>
      <w:r>
        <w:rPr>
          <w:b w:val="0"/>
          <w:color w:val="1F1F1F"/>
          <w:sz w:val="21"/>
        </w:rPr>
        <w:t>La pregunta Q17 de la encuesta solicitó la disposición de pago mensual. De los 100 encuestados, 61 indicaron una intención de pago definitiva distribuida en tres rangos: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0070C0"/>
          </w:tcPr>
          <w:p>
            <w:r>
              <w:rPr>
                <w:b/>
                <w:color w:val="FFFFFF"/>
              </w:rPr>
              <w:t>Rango de Precio Mensual</w:t>
            </w:r>
          </w:p>
        </w:tc>
        <w:tc>
          <w:tcPr>
            <w:tcW w:type="dxa" w:w="2280"/>
            <w:shd w:val="clear" w:color="auto" w:fill="0070C0"/>
          </w:tcPr>
          <w:p>
            <w:r>
              <w:rPr>
                <w:b/>
                <w:color w:val="FFFFFF"/>
              </w:rPr>
              <w:t>Precio Representativo/mes</w:t>
            </w:r>
          </w:p>
        </w:tc>
        <w:tc>
          <w:tcPr>
            <w:tcW w:type="dxa" w:w="2280"/>
            <w:shd w:val="clear" w:color="auto" w:fill="0070C0"/>
          </w:tcPr>
          <w:p>
            <w:r>
              <w:rPr>
                <w:b/>
                <w:color w:val="FFFFFF"/>
              </w:rPr>
              <w:t>Respondentes</w:t>
            </w:r>
          </w:p>
        </w:tc>
        <w:tc>
          <w:tcPr>
            <w:tcW w:type="dxa" w:w="2280"/>
            <w:shd w:val="clear" w:color="auto" w:fill="0070C0"/>
          </w:tcPr>
          <w:p>
            <w:r>
              <w:rPr>
                <w:b/>
                <w:color w:val="FFFFFF"/>
              </w:rPr>
              <w:t>Subtotal anual (S/.)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t>S/. 20 – S/. 40 / mes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S/. 30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S/. 12,600 / año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t>S/. 41 – S/. 70 / mes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S/. 55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S/.  9,900 / año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t>S/. 71 – S/. 100 / mes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S/. 85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S/.  8,160 / año</w:t>
            </w:r>
          </w:p>
        </w:tc>
      </w:tr>
      <w:tr>
        <w:tc>
          <w:tcPr>
            <w:tcW w:type="dxa" w:w="2280"/>
            <w:shd w:val="clear" w:color="auto" w:fill="CCCCFF"/>
          </w:tcPr>
          <w:p>
            <w:pPr>
              <w:jc w:val="center"/>
            </w:pPr>
            <w:r>
              <w:rPr>
                <w:b/>
              </w:rPr>
              <w:t>TOTAL / Promedio ponderado</w:t>
            </w:r>
          </w:p>
        </w:tc>
        <w:tc>
          <w:tcPr>
            <w:tcW w:type="dxa" w:w="2280"/>
            <w:shd w:val="clear" w:color="auto" w:fill="CCCCFF"/>
          </w:tcPr>
          <w:p>
            <w:pPr>
              <w:jc w:val="center"/>
            </w:pPr>
            <w:r>
              <w:rPr>
                <w:b/>
              </w:rPr>
            </w:r>
          </w:p>
        </w:tc>
        <w:tc>
          <w:tcPr>
            <w:tcW w:type="dxa" w:w="2280"/>
            <w:shd w:val="clear" w:color="auto" w:fill="CCCCFF"/>
          </w:tcPr>
          <w:p>
            <w:pPr>
              <w:jc w:val="center"/>
            </w:pPr>
            <w:r>
              <w:rPr>
                <w:b/>
              </w:rPr>
              <w:t>61</w:t>
            </w:r>
          </w:p>
        </w:tc>
        <w:tc>
          <w:tcPr>
            <w:tcW w:type="dxa" w:w="2280"/>
            <w:shd w:val="clear" w:color="auto" w:fill="CCCCFF"/>
          </w:tcPr>
          <w:p>
            <w:pPr>
              <w:jc w:val="center"/>
            </w:pPr>
            <w:r>
              <w:rPr>
                <w:b/>
              </w:rPr>
              <w:t>S/. 30,660 / año</w:t>
            </w:r>
          </w:p>
        </w:tc>
      </w:tr>
    </w:tbl>
    <w:p/>
    <w:p>
      <w:pPr>
        <w:spacing w:after="80"/>
      </w:pPr>
      <w:r>
        <w:rPr>
          <w:b/>
          <w:color w:val="1F1F1F"/>
          <w:sz w:val="21"/>
        </w:rPr>
        <w:t>Precio Ponderado Anual = S/. 30,660 ÷ 61 respondentes = S/. 502.62 / docente / año</w:t>
      </w:r>
    </w:p>
    <w:p>
      <w:pPr>
        <w:spacing w:after="80"/>
      </w:pPr>
      <w:r>
        <w:rPr>
          <w:b w:val="0"/>
          <w:color w:val="1F1F1F"/>
          <w:sz w:val="21"/>
        </w:rPr>
        <w:t>(Equivalente: S/. 30,660 / 61 ≈ S/. 502.62/año → ~S/. 41.89/mes promedio ponderado)</w:t>
      </w:r>
    </w:p>
    <w:p>
      <w:pPr>
        <w:spacing w:after="80"/>
      </w:pPr>
      <w:r>
        <w:rPr>
          <w:b w:val="0"/>
          <w:color w:val="1F1F1F"/>
          <w:sz w:val="21"/>
        </w:rPr>
        <w:t>Nota: En el modelo Excel se utilizan los precios anuales representativos (S/.360, S/.660, S/.1,020) obteniendo un precio ponderado de S/.535.08/año, diferencia menor debida al redondeo del precio representativo por rango.</w:t>
      </w:r>
    </w:p>
    <w:p>
      <w:pPr>
        <w:spacing w:before="240" w:after="80"/>
        <w:jc w:val="left"/>
      </w:pPr>
      <w:r>
        <w:rPr>
          <w:b/>
          <w:color w:val="7030A0"/>
          <w:sz w:val="32"/>
        </w:rPr>
        <w:t>6. Escenarios de Demanda (Sección 11)</w:t>
      </w:r>
    </w:p>
    <w:p>
      <w:pPr>
        <w:spacing w:after="80"/>
      </w:pPr>
      <w:r>
        <w:rPr>
          <w:b w:val="0"/>
          <w:color w:val="1F1F1F"/>
          <w:sz w:val="21"/>
        </w:rPr>
        <w:t>Se plantean tres escenarios de penetración sobre el Mercado Objetivo (82,406 docentes) para el año de lanzamiento 2027, considerando el precio ponderado de S/.535.08/año: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0070C0"/>
          </w:tcPr>
          <w:p>
            <w:r>
              <w:rPr>
                <w:b/>
                <w:color w:val="FFFFFF"/>
              </w:rPr>
              <w:t>Escenario</w:t>
            </w:r>
          </w:p>
        </w:tc>
        <w:tc>
          <w:tcPr>
            <w:tcW w:type="dxa" w:w="1824"/>
            <w:shd w:val="clear" w:color="auto" w:fill="0070C0"/>
          </w:tcPr>
          <w:p>
            <w:r>
              <w:rPr>
                <w:b/>
                <w:color w:val="FFFFFF"/>
              </w:rPr>
              <w:t>% Penetración</w:t>
            </w:r>
          </w:p>
        </w:tc>
        <w:tc>
          <w:tcPr>
            <w:tcW w:type="dxa" w:w="1824"/>
            <w:shd w:val="clear" w:color="auto" w:fill="0070C0"/>
          </w:tcPr>
          <w:p>
            <w:r>
              <w:rPr>
                <w:b/>
                <w:color w:val="FFFFFF"/>
              </w:rPr>
              <w:t>Suscripciones</w:t>
            </w:r>
          </w:p>
        </w:tc>
        <w:tc>
          <w:tcPr>
            <w:tcW w:type="dxa" w:w="1824"/>
            <w:shd w:val="clear" w:color="auto" w:fill="0070C0"/>
          </w:tcPr>
          <w:p>
            <w:r>
              <w:rPr>
                <w:b/>
                <w:color w:val="FFFFFF"/>
              </w:rPr>
              <w:t>Ingresos Anuales (S/.)</w:t>
            </w:r>
          </w:p>
        </w:tc>
        <w:tc>
          <w:tcPr>
            <w:tcW w:type="dxa" w:w="1824"/>
            <w:shd w:val="clear" w:color="auto" w:fill="0070C0"/>
          </w:tcPr>
          <w:p>
            <w:r>
              <w:rPr>
                <w:b/>
                <w:color w:val="FFFFFF"/>
              </w:rPr>
              <w:t>Ingresos Anuales (USD*)</w:t>
            </w:r>
          </w:p>
        </w:tc>
      </w:tr>
      <w:tr>
        <w:tc>
          <w:tcPr>
            <w:tcW w:type="dxa" w:w="1824"/>
            <w:shd w:val="clear" w:color="auto" w:fill="E2EFDA"/>
          </w:tcPr>
          <w:p>
            <w:pPr>
              <w:jc w:val="center"/>
            </w:pPr>
            <w:r>
              <w:t>Optimista</w:t>
            </w:r>
          </w:p>
        </w:tc>
        <w:tc>
          <w:tcPr>
            <w:tcW w:type="dxa" w:w="1824"/>
            <w:shd w:val="clear" w:color="auto" w:fill="E2EFDA"/>
          </w:tcPr>
          <w:p>
            <w:pPr>
              <w:jc w:val="center"/>
            </w:pPr>
            <w:r>
              <w:t>80 %</w:t>
            </w:r>
          </w:p>
        </w:tc>
        <w:tc>
          <w:tcPr>
            <w:tcW w:type="dxa" w:w="1824"/>
            <w:shd w:val="clear" w:color="auto" w:fill="E2EFDA"/>
          </w:tcPr>
          <w:p>
            <w:pPr>
              <w:jc w:val="center"/>
            </w:pPr>
            <w:r>
              <w:t>65,925</w:t>
            </w:r>
          </w:p>
        </w:tc>
        <w:tc>
          <w:tcPr>
            <w:tcW w:type="dxa" w:w="1824"/>
            <w:shd w:val="clear" w:color="auto" w:fill="E2EFDA"/>
          </w:tcPr>
          <w:p>
            <w:pPr>
              <w:jc w:val="center"/>
            </w:pPr>
            <w:r>
              <w:t>S/. 35,274,015</w:t>
            </w:r>
          </w:p>
        </w:tc>
        <w:tc>
          <w:tcPr>
            <w:tcW w:type="dxa" w:w="1824"/>
            <w:shd w:val="clear" w:color="auto" w:fill="E2EFDA"/>
          </w:tcPr>
          <w:p>
            <w:pPr>
              <w:jc w:val="center"/>
            </w:pPr>
            <w:r>
              <w:t>≈ USD 9,521,355</w:t>
            </w:r>
          </w:p>
        </w:tc>
      </w:tr>
      <w:tr>
        <w:tc>
          <w:tcPr>
            <w:tcW w:type="dxa" w:w="1824"/>
            <w:shd w:val="clear" w:color="auto" w:fill="FFEB9C"/>
          </w:tcPr>
          <w:p>
            <w:pPr>
              <w:jc w:val="center"/>
            </w:pPr>
            <w:r>
              <w:t>Moderado</w:t>
            </w:r>
          </w:p>
        </w:tc>
        <w:tc>
          <w:tcPr>
            <w:tcW w:type="dxa" w:w="1824"/>
            <w:shd w:val="clear" w:color="auto" w:fill="FFEB9C"/>
          </w:tcPr>
          <w:p>
            <w:pPr>
              <w:jc w:val="center"/>
            </w:pPr>
            <w:r>
              <w:t>50 %</w:t>
            </w:r>
          </w:p>
        </w:tc>
        <w:tc>
          <w:tcPr>
            <w:tcW w:type="dxa" w:w="1824"/>
            <w:shd w:val="clear" w:color="auto" w:fill="FFEB9C"/>
          </w:tcPr>
          <w:p>
            <w:pPr>
              <w:jc w:val="center"/>
            </w:pPr>
            <w:r>
              <w:t>41,203</w:t>
            </w:r>
          </w:p>
        </w:tc>
        <w:tc>
          <w:tcPr>
            <w:tcW w:type="dxa" w:w="1824"/>
            <w:shd w:val="clear" w:color="auto" w:fill="FFEB9C"/>
          </w:tcPr>
          <w:p>
            <w:pPr>
              <w:jc w:val="center"/>
            </w:pPr>
            <w:r>
              <w:t>S/. 22,046,259</w:t>
            </w:r>
          </w:p>
        </w:tc>
        <w:tc>
          <w:tcPr>
            <w:tcW w:type="dxa" w:w="1824"/>
            <w:shd w:val="clear" w:color="auto" w:fill="FFEB9C"/>
          </w:tcPr>
          <w:p>
            <w:pPr>
              <w:jc w:val="center"/>
            </w:pPr>
            <w:r>
              <w:t>≈ USD 5,950,881</w:t>
            </w:r>
          </w:p>
        </w:tc>
      </w:tr>
      <w:tr>
        <w:tc>
          <w:tcPr>
            <w:tcW w:type="dxa" w:w="1824"/>
            <w:shd w:val="clear" w:color="auto" w:fill="FFC7CE"/>
          </w:tcPr>
          <w:p>
            <w:pPr>
              <w:jc w:val="center"/>
            </w:pPr>
            <w:r>
              <w:t>Pesimista</w:t>
            </w:r>
          </w:p>
        </w:tc>
        <w:tc>
          <w:tcPr>
            <w:tcW w:type="dxa" w:w="1824"/>
            <w:shd w:val="clear" w:color="auto" w:fill="FFC7CE"/>
          </w:tcPr>
          <w:p>
            <w:pPr>
              <w:jc w:val="center"/>
            </w:pPr>
            <w:r>
              <w:t>30 %</w:t>
            </w:r>
          </w:p>
        </w:tc>
        <w:tc>
          <w:tcPr>
            <w:tcW w:type="dxa" w:w="1824"/>
            <w:shd w:val="clear" w:color="auto" w:fill="FFC7CE"/>
          </w:tcPr>
          <w:p>
            <w:pPr>
              <w:jc w:val="center"/>
            </w:pPr>
            <w:r>
              <w:t>24,722</w:t>
            </w:r>
          </w:p>
        </w:tc>
        <w:tc>
          <w:tcPr>
            <w:tcW w:type="dxa" w:w="1824"/>
            <w:shd w:val="clear" w:color="auto" w:fill="FFC7CE"/>
          </w:tcPr>
          <w:p>
            <w:pPr>
              <w:jc w:val="center"/>
            </w:pPr>
            <w:r>
              <w:t>S/. 13,227,786</w:t>
            </w:r>
          </w:p>
        </w:tc>
        <w:tc>
          <w:tcPr>
            <w:tcW w:type="dxa" w:w="1824"/>
            <w:shd w:val="clear" w:color="auto" w:fill="FFC7CE"/>
          </w:tcPr>
          <w:p>
            <w:pPr>
              <w:jc w:val="center"/>
            </w:pPr>
            <w:r>
              <w:t>≈ USD 3,569,942</w:t>
            </w:r>
          </w:p>
        </w:tc>
      </w:tr>
    </w:tbl>
    <w:p/>
    <w:p>
      <w:pPr>
        <w:spacing w:after="80"/>
      </w:pPr>
      <w:r>
        <w:rPr>
          <w:b w:val="0"/>
          <w:color w:val="1F1F1F"/>
          <w:sz w:val="21"/>
        </w:rPr>
        <w:t>* Tipo de cambio referencial: S/. 3.71 / USD (BCRP, abril 2026)</w:t>
      </w:r>
    </w:p>
    <w:p>
      <w:pPr>
        <w:spacing w:before="240" w:after="80"/>
        <w:jc w:val="left"/>
      </w:pPr>
      <w:r>
        <w:rPr>
          <w:b/>
          <w:color w:val="7030A0"/>
          <w:sz w:val="32"/>
        </w:rPr>
        <w:t>7. Proyección a 5 Años (2027–2031) — Escenario Moderado</w:t>
      </w:r>
    </w:p>
    <w:p>
      <w:pPr>
        <w:spacing w:after="80"/>
      </w:pPr>
      <w:r>
        <w:rPr>
          <w:b w:val="0"/>
          <w:color w:val="1F1F1F"/>
          <w:sz w:val="21"/>
        </w:rPr>
        <w:t>Tomando el escenario moderado como base y aplicando una tasa de crecimiento anual del 15 %, sustentada en el HolonIQ EdTech LATAM Report 2024 (CAGR 15 % para plataformas SaaS educativas en Perú y Latinoamérica):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7030A0"/>
          </w:tcPr>
          <w:p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2280"/>
            <w:shd w:val="clear" w:color="auto" w:fill="7030A0"/>
          </w:tcPr>
          <w:p>
            <w:r>
              <w:rPr>
                <w:b/>
                <w:color w:val="FFFFFF"/>
              </w:rPr>
              <w:t>Suscripciones</w:t>
            </w:r>
          </w:p>
        </w:tc>
        <w:tc>
          <w:tcPr>
            <w:tcW w:type="dxa" w:w="2280"/>
            <w:shd w:val="clear" w:color="auto" w:fill="7030A0"/>
          </w:tcPr>
          <w:p>
            <w:r>
              <w:rPr>
                <w:b/>
                <w:color w:val="FFFFFF"/>
              </w:rPr>
              <w:t>Ingresos (S/.)</w:t>
            </w:r>
          </w:p>
        </w:tc>
        <w:tc>
          <w:tcPr>
            <w:tcW w:type="dxa" w:w="2280"/>
            <w:shd w:val="clear" w:color="auto" w:fill="7030A0"/>
          </w:tcPr>
          <w:p>
            <w:r>
              <w:rPr>
                <w:b/>
                <w:color w:val="FFFFFF"/>
              </w:rPr>
              <w:t>Crecimiento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t>2027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41,203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S/. 22,046,259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Base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t>2028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47,383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S/. 25,353,198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+15 %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t>2029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54,490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S/. 29,156,177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+15 %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t>2030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62,664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S/. 33,529,604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+15 %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t>2031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72,063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S/. 38,559,045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+15 %</w:t>
            </w:r>
          </w:p>
        </w:tc>
      </w:tr>
    </w:tbl>
    <w:p/>
    <w:p>
      <w:pPr>
        <w:spacing w:after="80"/>
      </w:pPr>
      <w:r>
        <w:rPr>
          <w:b w:val="0"/>
          <w:color w:val="1F1F1F"/>
          <w:sz w:val="21"/>
        </w:rPr>
        <w:t>En cinco años, el escenario moderado proyecta ingresos acumulados superiores a S/. 148 millones, alcanzando 72,063 suscripciones activas en 2031.</w:t>
      </w:r>
    </w:p>
    <w:p>
      <w:pPr>
        <w:spacing w:before="240" w:after="80"/>
        <w:jc w:val="left"/>
      </w:pPr>
      <w:r>
        <w:rPr>
          <w:b/>
          <w:color w:val="7030A0"/>
          <w:sz w:val="32"/>
        </w:rPr>
        <w:t>8. Conclusiones</w:t>
      </w:r>
    </w:p>
    <w:p>
      <w:pPr>
        <w:pStyle w:val="ListBullet"/>
        <w:spacing w:after="40"/>
      </w:pPr>
      <w:r>
        <w:rPr>
          <w:color w:val="1F1F1F"/>
          <w:sz w:val="21"/>
        </w:rPr>
        <w:t>1. El mercado objetivo de LegendaryClass en Lima Metropolitana asciende a 82,406 docentes, lo que representa una oportunidad de mercado significativa y cuantificable.</w:t>
      </w:r>
    </w:p>
    <w:p>
      <w:pPr>
        <w:pStyle w:val="ListBullet"/>
        <w:spacing w:after="40"/>
      </w:pPr>
      <w:r>
        <w:rPr>
          <w:color w:val="1F1F1F"/>
          <w:sz w:val="21"/>
        </w:rPr>
        <w:t>2. El precio ponderado anual de S/. 502–535 por docente es competitivo frente a soluciones internacionales equivalentes (Classcraft: USD 120/año; ClassDojo Premium: USD 36/año) y se alinea con la disposición de pago local.</w:t>
      </w:r>
    </w:p>
    <w:p>
      <w:pPr>
        <w:pStyle w:val="ListBullet"/>
        <w:spacing w:after="40"/>
      </w:pPr>
      <w:r>
        <w:rPr>
          <w:color w:val="1F1F1F"/>
          <w:sz w:val="21"/>
        </w:rPr>
        <w:t>3. El escenario moderado (50 % de penetración) genera ingresos de S/. 22 millones en el año de lanzamiento, lo que sustenta la viabilidad financiera del proyecto.</w:t>
      </w:r>
    </w:p>
    <w:p>
      <w:pPr>
        <w:pStyle w:val="ListBullet"/>
        <w:spacing w:after="40"/>
      </w:pPr>
      <w:r>
        <w:rPr>
          <w:color w:val="1F1F1F"/>
          <w:sz w:val="21"/>
        </w:rPr>
        <w:t>4. Con una tasa de crecimiento del 15 % anual (respaldada por el mercado EdTech LATAM), LegendaryClass puede alcanzar S/. 38.5 millones en ingresos para 2031.</w:t>
      </w:r>
    </w:p>
    <w:p>
      <w:pPr>
        <w:pStyle w:val="ListBullet"/>
        <w:spacing w:after="40"/>
      </w:pPr>
      <w:r>
        <w:rPr>
          <w:color w:val="1F1F1F"/>
          <w:sz w:val="21"/>
        </w:rPr>
        <w:t>5. La demanda está sostenida por una necesidad real: el 58 % de los docentes encuestados reporta baja motivación estudiantil de forma frecuente o constante.</w:t>
      </w:r>
    </w:p>
    <w:p>
      <w:pPr>
        <w:spacing w:before="240" w:after="80"/>
        <w:jc w:val="left"/>
      </w:pPr>
      <w:r>
        <w:rPr>
          <w:b/>
          <w:color w:val="7030A0"/>
          <w:sz w:val="32"/>
        </w:rPr>
        <w:t>9. Referencias</w:t>
      </w:r>
    </w:p>
    <w:p>
      <w:pPr>
        <w:pStyle w:val="ListBullet"/>
        <w:spacing w:after="40"/>
      </w:pPr>
      <w:r>
        <w:rPr>
          <w:color w:val="1F1F1F"/>
          <w:sz w:val="21"/>
        </w:rPr>
        <w:t>Ministerio de Educación del Perú (MINEDU). (2024). Estadísticas de la Calidad Educativa (ESCALE). Lima, Perú.</w:t>
      </w:r>
    </w:p>
    <w:p>
      <w:pPr>
        <w:pStyle w:val="ListBullet"/>
        <w:spacing w:after="40"/>
      </w:pPr>
      <w:r>
        <w:rPr>
          <w:color w:val="1F1F1F"/>
          <w:sz w:val="21"/>
        </w:rPr>
        <w:t>HolonIQ. (2024). Latin America EdTech Market Briefing. HolonIQ Intelligence.</w:t>
      </w:r>
    </w:p>
    <w:p>
      <w:pPr>
        <w:pStyle w:val="ListBullet"/>
        <w:spacing w:after="40"/>
      </w:pPr>
      <w:r>
        <w:rPr>
          <w:color w:val="1F1F1F"/>
          <w:sz w:val="21"/>
        </w:rPr>
        <w:t>Banco Central de Reserva del Perú (BCRP). (2026, abril). Tipo de cambio referencial. Lima, Perú.</w:t>
      </w:r>
    </w:p>
    <w:p>
      <w:pPr>
        <w:pStyle w:val="ListBullet"/>
        <w:spacing w:after="40"/>
      </w:pPr>
      <w:r>
        <w:rPr>
          <w:color w:val="1F1F1F"/>
          <w:sz w:val="21"/>
        </w:rPr>
        <w:t>Deterding, S., Dixon, D., Khaled, R., &amp; Nacke, L. (2011). From game design elements to gamefulness: Defining gamification. MindTrek '11 Proceedings.</w:t>
      </w:r>
    </w:p>
    <w:p>
      <w:pPr>
        <w:pStyle w:val="ListBullet"/>
        <w:spacing w:after="40"/>
      </w:pPr>
      <w:r>
        <w:rPr>
          <w:color w:val="1F1F1F"/>
          <w:sz w:val="21"/>
        </w:rPr>
        <w:t>Hamari, J., Koivisto, J., &amp; Sarsa, H. (2014). Does gamification work? A literature review of empirical studies on gamification. HICSS 2014.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