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2BC684C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374B9A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E081BAA" w14:textId="07236DE5" w:rsidR="00374B9A" w:rsidRPr="00931701" w:rsidRDefault="00374B9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He cumplido el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modelo ER normalizado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su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diccionario de datos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dejé el esquema versionado mediante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migraciones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Documenté decisiones técnicas (ADR), glosario de tablas/campos y el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procedimiento de carga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; además preparé los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scripts DDL/DML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ejemplos de consultas. Lo que quedó parcial es la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ingesta multifuente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(con logs/validaciones completos) y la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evidencia de optimización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antes/después.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1563C2A" w14:textId="42F6DD89" w:rsidR="00374B9A" w:rsidRPr="003B466F" w:rsidRDefault="00374B9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Estandaricé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plantillas de entrada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definí reglas de calidad (nulos/duplicados/rangos). Para cerrar optimización, seleccionaré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2 consultas críticas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(ocupación y choques), capturaré el plan de ejecución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antes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después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aplicar índices y dejaré el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informe comparativo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la carpeta de evidencias. También completaré el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backup/restore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captura y verificación.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14ED378" w:rsidR="004F2A8B" w:rsidRPr="00374B9A" w:rsidRDefault="00374B9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trabajo es sólido en diseño y trazabilidad: el esquema está claro y reproducible, y la documentación permite entender y montar la BD sin depender del front/back. Por mejorar: terminar la ingesta multifuente con trazabilidad de errores y dejar métricas de rendimiento más visibles en el informe.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06CFE182" w:rsidR="004F2A8B" w:rsidRDefault="00374B9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74B9A">
              <w:rPr>
                <w:rFonts w:ascii="Calibri" w:hAnsi="Calibri"/>
                <w:b/>
                <w:bCs/>
                <w:color w:val="1F4E79" w:themeColor="accent1" w:themeShade="80"/>
              </w:rPr>
              <w:t>Quisiera confirmar qué nivel de detalle esperan en la ingesta (¿basta con orígenes priorizados y log de errores, o requieren dashboard de calidad?) y cuántas consultas optimizadas exigen como evidencia (propongo 2 con mejora porcentual). A mis pares les pediré validar que el diccionario y los nombres de entidades estén alineados con lo que consumen en la API.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486BF0BD" w:rsidR="004F2A8B" w:rsidRDefault="00374B9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Mantengo mi foco en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ingesta + calidad de datos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optimización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operación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(roles y backup/restore). El resto del equipo puede seguir con front/back; yo me encargo de cerrar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OpenAPI/Swagger –parte de contratos de datos–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 actualizar el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README/Mapa de evidencias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que todo quede trazable.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2171B48B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374B9A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58263249" w:rsidR="004F2A8B" w:rsidRDefault="00374B9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equipo vamos bien; desde BD la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consistencia del modelo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documentación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han facilitado el trabajo del back y del front. Podemos mejorar en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coordinar cambios de esquema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(solo por migraciones) y en exigir una </w:t>
            </w:r>
            <w:r w:rsidRPr="00374B9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“definición de listo”</w:t>
            </w:r>
            <w:r w:rsidRPr="00374B9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datos: tabla documentada, ejemplo de carga válido, y evidencia de performance si afecta a reportes. Con eso el cierre de la fase será más prolijo.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713425" w14:textId="77777777" w:rsidR="00382FD5" w:rsidRDefault="00382FD5" w:rsidP="00DF38AE">
      <w:pPr>
        <w:spacing w:after="0" w:line="240" w:lineRule="auto"/>
      </w:pPr>
      <w:r>
        <w:separator/>
      </w:r>
    </w:p>
  </w:endnote>
  <w:endnote w:type="continuationSeparator" w:id="0">
    <w:p w14:paraId="011F707F" w14:textId="77777777" w:rsidR="00382FD5" w:rsidRDefault="00382FD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B92483" w14:textId="77777777" w:rsidR="00382FD5" w:rsidRDefault="00382FD5" w:rsidP="00DF38AE">
      <w:pPr>
        <w:spacing w:after="0" w:line="240" w:lineRule="auto"/>
      </w:pPr>
      <w:r>
        <w:separator/>
      </w:r>
    </w:p>
  </w:footnote>
  <w:footnote w:type="continuationSeparator" w:id="0">
    <w:p w14:paraId="26FAEDB2" w14:textId="77777777" w:rsidR="00382FD5" w:rsidRDefault="00382FD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6323054">
    <w:abstractNumId w:val="3"/>
  </w:num>
  <w:num w:numId="2" w16cid:durableId="2012876210">
    <w:abstractNumId w:val="8"/>
  </w:num>
  <w:num w:numId="3" w16cid:durableId="165363574">
    <w:abstractNumId w:val="12"/>
  </w:num>
  <w:num w:numId="4" w16cid:durableId="751589306">
    <w:abstractNumId w:val="28"/>
  </w:num>
  <w:num w:numId="5" w16cid:durableId="2058505877">
    <w:abstractNumId w:val="30"/>
  </w:num>
  <w:num w:numId="6" w16cid:durableId="41489481">
    <w:abstractNumId w:val="4"/>
  </w:num>
  <w:num w:numId="7" w16cid:durableId="1044527588">
    <w:abstractNumId w:val="11"/>
  </w:num>
  <w:num w:numId="8" w16cid:durableId="1903708867">
    <w:abstractNumId w:val="19"/>
  </w:num>
  <w:num w:numId="9" w16cid:durableId="887490985">
    <w:abstractNumId w:val="15"/>
  </w:num>
  <w:num w:numId="10" w16cid:durableId="80108279">
    <w:abstractNumId w:val="9"/>
  </w:num>
  <w:num w:numId="11" w16cid:durableId="1776704696">
    <w:abstractNumId w:val="24"/>
  </w:num>
  <w:num w:numId="12" w16cid:durableId="362824732">
    <w:abstractNumId w:val="35"/>
  </w:num>
  <w:num w:numId="13" w16cid:durableId="719936494">
    <w:abstractNumId w:val="29"/>
  </w:num>
  <w:num w:numId="14" w16cid:durableId="1084230816">
    <w:abstractNumId w:val="1"/>
  </w:num>
  <w:num w:numId="15" w16cid:durableId="2139374820">
    <w:abstractNumId w:val="36"/>
  </w:num>
  <w:num w:numId="16" w16cid:durableId="581376403">
    <w:abstractNumId w:val="21"/>
  </w:num>
  <w:num w:numId="17" w16cid:durableId="523792165">
    <w:abstractNumId w:val="17"/>
  </w:num>
  <w:num w:numId="18" w16cid:durableId="950094391">
    <w:abstractNumId w:val="31"/>
  </w:num>
  <w:num w:numId="19" w16cid:durableId="1598949128">
    <w:abstractNumId w:val="10"/>
  </w:num>
  <w:num w:numId="20" w16cid:durableId="638805862">
    <w:abstractNumId w:val="39"/>
  </w:num>
  <w:num w:numId="21" w16cid:durableId="1555778481">
    <w:abstractNumId w:val="34"/>
  </w:num>
  <w:num w:numId="22" w16cid:durableId="67576003">
    <w:abstractNumId w:val="13"/>
  </w:num>
  <w:num w:numId="23" w16cid:durableId="576403727">
    <w:abstractNumId w:val="14"/>
  </w:num>
  <w:num w:numId="24" w16cid:durableId="1958370794">
    <w:abstractNumId w:val="5"/>
  </w:num>
  <w:num w:numId="25" w16cid:durableId="1791823663">
    <w:abstractNumId w:val="16"/>
  </w:num>
  <w:num w:numId="26" w16cid:durableId="1605184828">
    <w:abstractNumId w:val="20"/>
  </w:num>
  <w:num w:numId="27" w16cid:durableId="563830594">
    <w:abstractNumId w:val="23"/>
  </w:num>
  <w:num w:numId="28" w16cid:durableId="306790377">
    <w:abstractNumId w:val="0"/>
  </w:num>
  <w:num w:numId="29" w16cid:durableId="1187671273">
    <w:abstractNumId w:val="18"/>
  </w:num>
  <w:num w:numId="30" w16cid:durableId="1550606978">
    <w:abstractNumId w:val="22"/>
  </w:num>
  <w:num w:numId="31" w16cid:durableId="405885387">
    <w:abstractNumId w:val="2"/>
  </w:num>
  <w:num w:numId="32" w16cid:durableId="724526823">
    <w:abstractNumId w:val="7"/>
  </w:num>
  <w:num w:numId="33" w16cid:durableId="1063989594">
    <w:abstractNumId w:val="32"/>
  </w:num>
  <w:num w:numId="34" w16cid:durableId="407504338">
    <w:abstractNumId w:val="38"/>
  </w:num>
  <w:num w:numId="35" w16cid:durableId="1375152196">
    <w:abstractNumId w:val="6"/>
  </w:num>
  <w:num w:numId="36" w16cid:durableId="438454057">
    <w:abstractNumId w:val="25"/>
  </w:num>
  <w:num w:numId="37" w16cid:durableId="281427866">
    <w:abstractNumId w:val="37"/>
  </w:num>
  <w:num w:numId="38" w16cid:durableId="1488281040">
    <w:abstractNumId w:val="27"/>
  </w:num>
  <w:num w:numId="39" w16cid:durableId="1933050408">
    <w:abstractNumId w:val="26"/>
  </w:num>
  <w:num w:numId="40" w16cid:durableId="14373651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4B9A"/>
    <w:rsid w:val="00375791"/>
    <w:rsid w:val="00377E92"/>
    <w:rsid w:val="003802EB"/>
    <w:rsid w:val="0038071D"/>
    <w:rsid w:val="00382FD5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17A7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560</Words>
  <Characters>3062</Characters>
  <Application>Microsoft Office Word</Application>
  <DocSecurity>0</DocSecurity>
  <Lines>122</Lines>
  <Paragraphs>30</Paragraphs>
  <ScaleCrop>false</ScaleCrop>
  <Company>Wal-Mart Stores, Inc.</Company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. ALBORNOZ MORENO</cp:lastModifiedBy>
  <cp:revision>44</cp:revision>
  <cp:lastPrinted>2019-12-16T20:10:00Z</cp:lastPrinted>
  <dcterms:created xsi:type="dcterms:W3CDTF">2021-12-31T12:50:00Z</dcterms:created>
  <dcterms:modified xsi:type="dcterms:W3CDTF">2025-10-28T18:34:00Z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