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904"/>
        <w:gridCol w:w="4320"/>
      </w:tblGrid>
      <w:tr>
        <w:tc>
          <w:tcPr>
            <w:tcW w:type="dxa" w:w="5904"/>
            <w:shd w:val="clear" w:color="auto" w:fill="2B164F"/>
            <w:tcBorders>
              <w:top w:val="nil"/>
              <w:left w:val="nil"/>
              <w:bottom w:val="nil"/>
              <w:right w:val="nil"/>
            </w:tcBorders>
            <w:tcMar>
              <w:top w:w="200" w:type="dxa"/>
              <w:bottom w:w="200" w:type="dxa"/>
              <w:left w:w="220" w:type="dxa"/>
              <w:right w:w="160" w:type="dxa"/>
            </w:tcMar>
            <w:vAlign w:val="center"/>
          </w:tcPr>
          <w:p>
            <w:pPr>
              <w:spacing w:after="320"/>
            </w:pPr>
            <w:r/>
            <w:r>
              <w:drawing>
                <wp:inline xmlns:a="http://schemas.openxmlformats.org/drawingml/2006/main" xmlns:pic="http://schemas.openxmlformats.org/drawingml/2006/picture">
                  <wp:extent cx="2743200" cy="653364"/>
                  <wp:docPr id="1" name="Picture 1"/>
                  <wp:cNvGraphicFramePr>
                    <a:graphicFrameLocks noChangeAspect="1"/>
                  </wp:cNvGraphicFramePr>
                  <a:graphic>
                    <a:graphicData uri="http://schemas.openxmlformats.org/drawingml/2006/picture">
                      <pic:pic>
                        <pic:nvPicPr>
                          <pic:cNvPr id="0" name="mtdh_logo.png"/>
                          <pic:cNvPicPr/>
                        </pic:nvPicPr>
                        <pic:blipFill>
                          <a:blip r:embed="rId12"/>
                          <a:stretch>
                            <a:fillRect/>
                          </a:stretch>
                        </pic:blipFill>
                        <pic:spPr>
                          <a:xfrm>
                            <a:off x="0" y="0"/>
                            <a:ext cx="2743200" cy="653364"/>
                          </a:xfrm>
                          <a:prstGeom prst="rect"/>
                        </pic:spPr>
                      </pic:pic>
                    </a:graphicData>
                  </a:graphic>
                </wp:inline>
              </w:drawing>
            </w:r>
          </w:p>
          <w:p>
            <w:pPr>
              <w:spacing w:after="80" w:before="0" w:line="269" w:lineRule="auto"/>
            </w:pPr>
            <w:r>
              <w:rPr>
                <w:rFonts w:ascii="Calibri" w:hAnsi="Calibri" w:eastAsia="Calibri"/>
                <w:b/>
                <w:i w:val="0"/>
                <w:color w:val="D9CCF0"/>
                <w:sz w:val="19"/>
              </w:rPr>
              <w:t>Boletín estadístico institucional</w:t>
            </w:r>
          </w:p>
          <w:p>
            <w:pPr>
              <w:spacing w:after="120" w:before="0" w:line="269" w:lineRule="auto"/>
            </w:pPr>
            <w:r>
              <w:rPr>
                <w:rFonts w:ascii="Century Gothic" w:hAnsi="Century Gothic" w:eastAsia="Century Gothic"/>
                <w:b/>
                <w:i w:val="0"/>
                <w:color w:val="FFFFFF"/>
                <w:sz w:val="48"/>
              </w:rPr>
              <w:t>Boletín de protección social</w:t>
            </w:r>
          </w:p>
          <w:p>
            <w:pPr>
              <w:spacing w:after="80" w:before="0" w:line="269" w:lineRule="auto"/>
            </w:pPr>
            <w:r>
              <w:rPr>
                <w:rFonts w:ascii="Century Gothic" w:hAnsi="Century Gothic" w:eastAsia="Century Gothic"/>
                <w:b/>
                <w:i w:val="0"/>
                <w:color w:val="F8C018"/>
                <w:sz w:val="28"/>
              </w:rPr>
              <w:t>Septiembre 2026</w:t>
            </w:r>
          </w:p>
          <w:p>
            <w:pPr>
              <w:spacing w:after="0" w:before="0" w:line="269" w:lineRule="auto"/>
            </w:pPr>
            <w:r>
              <w:rPr>
                <w:rFonts w:ascii="Calibri" w:hAnsi="Calibri" w:eastAsia="Calibri"/>
                <w:b w:val="0"/>
                <w:i w:val="0"/>
                <w:color w:val="E9E2F6"/>
                <w:sz w:val="19"/>
              </w:rPr>
              <w:t>Alcance: Nacional - 24 provincias y zona en estudio</w:t>
            </w:r>
          </w:p>
        </w:tc>
        <w:tc>
          <w:tcPr>
            <w:tcW w:type="dxa" w:w="4320"/>
            <w:shd w:val="clear" w:color="auto" w:fill="512F8D"/>
            <w:tcBorders>
              <w:top w:val="nil"/>
              <w:left w:val="nil"/>
              <w:bottom w:val="nil"/>
              <w:right w:val="nil"/>
            </w:tcBorders>
            <w:tcMar>
              <w:top w:w="200" w:type="dxa"/>
              <w:bottom w:w="200" w:type="dxa"/>
              <w:left w:w="220" w:type="dxa"/>
              <w:right w:w="160" w:type="dxa"/>
            </w:tcMar>
            <w:vAlign w:val="center"/>
          </w:tcPr>
          <w:p>
            <w:pPr>
              <w:jc w:val="center"/>
            </w:pPr>
            <w:r/>
            <w:r>
              <w:drawing>
                <wp:inline xmlns:a="http://schemas.openxmlformats.org/drawingml/2006/main" xmlns:pic="http://schemas.openxmlformats.org/drawingml/2006/picture">
                  <wp:extent cx="2468880" cy="2172614"/>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68880" cy="2172614"/>
                          </a:xfrm>
                          <a:prstGeom prst="rect"/>
                        </pic:spPr>
                      </pic:pic>
                    </a:graphicData>
                  </a:graphic>
                </wp:inline>
              </w:drawing>
            </w:r>
          </w:p>
        </w:tc>
      </w:tr>
    </w:tbl>
    <w:tbl>
      <w:tblPr>
        <w:tblW w:type="auto" w:w="0"/>
        <w:jc w:val="center"/>
        <w:tblLook w:firstColumn="1" w:firstRow="1" w:lastColumn="0" w:lastRow="0" w:noHBand="0" w:noVBand="1" w:val="04A0"/>
      </w:tblPr>
      <w:tblGrid>
        <w:gridCol w:w="10224"/>
      </w:tblGrid>
      <w:tr>
        <w:trPr>
          <w:trHeight w:val="70" w:hRule="exact"/>
        </w:trPr>
        <w:tc>
          <w:tcPr>
            <w:tcW w:type="dxa" w:w="10224"/>
            <w:shd w:val="clear" w:color="auto" w:fill="F8C018"/>
            <w:tcBorders>
              <w:top w:val="nil"/>
              <w:left w:val="nil"/>
              <w:bottom w:val="nil"/>
              <w:right w:val="nil"/>
            </w:tcBorders>
            <w:tcMar>
              <w:top w:w="0" w:type="dxa"/>
              <w:bottom w:w="0" w:type="dxa"/>
              <w:left w:w="0" w:type="dxa"/>
              <w:right w:w="0" w:type="dxa"/>
            </w:tcMar>
          </w:tcPr>
          <w:p>
            <w:pPr>
              <w:spacing w:after="0"/>
            </w:pPr>
            <w:r>
              <w:rPr>
                <w:rFonts w:ascii="Calibri" w:hAnsi="Calibri" w:eastAsia="Calibri"/>
                <w:b w:val="0"/>
                <w:i w:val="0"/>
                <w:color w:val="20202B"/>
                <w:sz w:val="4"/>
              </w:rPr>
              <w:t xml:space="preserve"> </w:t>
            </w:r>
          </w:p>
        </w:tc>
      </w:tr>
    </w:tbl>
    <w:p>
      <w:pPr>
        <w:keepNext/>
        <w:spacing w:after="120" w:before="280" w:line="269" w:lineRule="auto"/>
      </w:pPr>
      <w:r>
        <w:rPr>
          <w:rFonts w:ascii="Century Gothic" w:hAnsi="Century Gothic" w:eastAsia="Century Gothic"/>
          <w:b/>
          <w:i w:val="0"/>
          <w:color w:val="2B164F"/>
          <w:sz w:val="26"/>
        </w:rPr>
        <w:t>Indicadores principales</w:t>
      </w:r>
    </w:p>
    <w:tbl>
      <w:tblPr>
        <w:tblW w:type="auto" w:w="0"/>
        <w:jc w:val="center"/>
        <w:tblLayout w:type="fixed"/>
        <w:tblLook w:firstColumn="1" w:firstRow="1" w:lastColumn="0" w:lastRow="0" w:noHBand="0" w:noVBand="1" w:val="04A0"/>
      </w:tblPr>
      <w:tblGrid>
        <w:gridCol w:w="5112"/>
        <w:gridCol w:w="5112"/>
      </w:tblGrid>
      <w:tr>
        <w:tc>
          <w:tcPr>
            <w:tcW w:type="dxa" w:w="5112"/>
            <w:shd w:val="clear" w:color="auto" w:fill="F7F5FA"/>
            <w:tcBorders>
              <w:top w:val="single" w:sz="24" w:color="512F8D"/>
              <w:left w:val="single" w:sz="24" w:color="FFFFFF"/>
              <w:bottom w:val="single" w:sz="48" w:color="FFFFFF"/>
              <w:right w:val="single" w:sz="24" w:color="FFFFFF"/>
            </w:tcBorders>
            <w:tcMar>
              <w:top w:w="140" w:type="dxa"/>
              <w:bottom w:w="140" w:type="dxa"/>
              <w:left w:w="180" w:type="dxa"/>
              <w:right w:w="140" w:type="dxa"/>
            </w:tcMar>
          </w:tcPr>
          <w:p>
            <w:pPr>
              <w:spacing w:after="80" w:line="240" w:lineRule="auto"/>
              <w:jc w:val="left"/>
            </w:pPr>
            <w:r/>
            <w:r>
              <w:rPr>
                <w:rFonts w:ascii="Calibri" w:hAnsi="Calibri" w:eastAsia="Calibri"/>
                <w:b/>
                <w:i w:val="0"/>
                <w:color w:val="5A5765"/>
                <w:sz w:val="18"/>
              </w:rPr>
              <w:t>Beneficiarios reportados</w:t>
            </w:r>
          </w:p>
          <w:p>
            <w:pPr>
              <w:spacing w:after="40" w:before="0" w:line="269" w:lineRule="auto"/>
            </w:pPr>
            <w:r>
              <w:rPr>
                <w:rFonts w:ascii="Century Gothic" w:hAnsi="Century Gothic" w:eastAsia="Century Gothic"/>
                <w:b/>
                <w:i w:val="0"/>
                <w:color w:val="2B164F"/>
                <w:sz w:val="40"/>
              </w:rPr>
              <w:t>1.578.019</w:t>
            </w:r>
          </w:p>
          <w:p>
            <w:pPr>
              <w:spacing w:after="0" w:before="0" w:line="269" w:lineRule="auto"/>
            </w:pPr>
            <w:r>
              <w:rPr>
                <w:rFonts w:ascii="Calibri" w:hAnsi="Calibri" w:eastAsia="Calibri"/>
                <w:b w:val="0"/>
                <w:i w:val="0"/>
                <w:color w:val="6E6880"/>
                <w:sz w:val="17"/>
              </w:rPr>
              <w:t>8 programas en la selección</w:t>
            </w:r>
          </w:p>
        </w:tc>
        <w:tc>
          <w:tcPr>
            <w:tcW w:type="dxa" w:w="5112"/>
            <w:shd w:val="clear" w:color="auto" w:fill="F7F5FA"/>
            <w:tcBorders>
              <w:top w:val="single" w:sz="24" w:color="C33F8D"/>
              <w:left w:val="single" w:sz="24" w:color="FFFFFF"/>
              <w:bottom w:val="single" w:sz="48" w:color="FFFFFF"/>
              <w:right w:val="single" w:sz="24" w:color="FFFFFF"/>
            </w:tcBorders>
            <w:tcMar>
              <w:top w:w="140" w:type="dxa"/>
              <w:bottom w:w="140" w:type="dxa"/>
              <w:left w:w="180" w:type="dxa"/>
              <w:right w:w="140" w:type="dxa"/>
            </w:tcMar>
          </w:tcPr>
          <w:p>
            <w:pPr>
              <w:spacing w:after="80" w:line="240" w:lineRule="auto"/>
              <w:jc w:val="left"/>
            </w:pPr>
            <w:r/>
            <w:r>
              <w:rPr>
                <w:rFonts w:ascii="Calibri" w:hAnsi="Calibri" w:eastAsia="Calibri"/>
                <w:b/>
                <w:i w:val="0"/>
                <w:color w:val="5A5765"/>
                <w:sz w:val="18"/>
              </w:rPr>
              <w:t>Usuarios reportados</w:t>
            </w:r>
          </w:p>
          <w:p>
            <w:pPr>
              <w:spacing w:after="40" w:before="0" w:line="269" w:lineRule="auto"/>
            </w:pPr>
            <w:r>
              <w:rPr>
                <w:rFonts w:ascii="Century Gothic" w:hAnsi="Century Gothic" w:eastAsia="Century Gothic"/>
                <w:b/>
                <w:i w:val="0"/>
                <w:color w:val="2B164F"/>
                <w:sz w:val="40"/>
              </w:rPr>
              <w:t>456.239</w:t>
            </w:r>
          </w:p>
          <w:p>
            <w:pPr>
              <w:spacing w:after="0" w:before="0" w:line="269" w:lineRule="auto"/>
            </w:pPr>
            <w:r>
              <w:rPr>
                <w:rFonts w:ascii="Calibri" w:hAnsi="Calibri" w:eastAsia="Calibri"/>
                <w:b w:val="0"/>
                <w:i w:val="0"/>
                <w:color w:val="6E6880"/>
                <w:sz w:val="17"/>
              </w:rPr>
              <w:t>4 servicios en la selección</w:t>
            </w:r>
          </w:p>
        </w:tc>
      </w:tr>
      <w:tr>
        <w:tc>
          <w:tcPr>
            <w:tcW w:type="dxa" w:w="5112"/>
            <w:shd w:val="clear" w:color="auto" w:fill="F7F5FA"/>
            <w:tcBorders>
              <w:top w:val="single" w:sz="24" w:color="7657B9"/>
              <w:left w:val="single" w:sz="24" w:color="FFFFFF"/>
              <w:bottom w:val="single" w:sz="48" w:color="FFFFFF"/>
              <w:right w:val="single" w:sz="24" w:color="FFFFFF"/>
            </w:tcBorders>
            <w:tcMar>
              <w:top w:w="140" w:type="dxa"/>
              <w:bottom w:w="140" w:type="dxa"/>
              <w:left w:w="180" w:type="dxa"/>
              <w:right w:w="140" w:type="dxa"/>
            </w:tcMar>
          </w:tcPr>
          <w:p>
            <w:pPr>
              <w:spacing w:after="80" w:line="240" w:lineRule="auto"/>
              <w:jc w:val="left"/>
            </w:pPr>
            <w:r/>
            <w:r>
              <w:rPr>
                <w:rFonts w:ascii="Calibri" w:hAnsi="Calibri" w:eastAsia="Calibri"/>
                <w:b/>
                <w:i w:val="0"/>
                <w:color w:val="5A5765"/>
                <w:sz w:val="18"/>
              </w:rPr>
              <w:t>Unidades de atención</w:t>
            </w:r>
          </w:p>
          <w:p>
            <w:pPr>
              <w:spacing w:after="40" w:before="0" w:line="269" w:lineRule="auto"/>
            </w:pPr>
            <w:r>
              <w:rPr>
                <w:rFonts w:ascii="Century Gothic" w:hAnsi="Century Gothic" w:eastAsia="Century Gothic"/>
                <w:b/>
                <w:i w:val="0"/>
                <w:color w:val="2B164F"/>
                <w:sz w:val="40"/>
              </w:rPr>
              <w:t>11.158</w:t>
            </w:r>
          </w:p>
          <w:p>
            <w:pPr>
              <w:spacing w:after="0" w:before="0" w:line="269" w:lineRule="auto"/>
            </w:pPr>
            <w:r>
              <w:rPr>
                <w:rFonts w:ascii="Calibri" w:hAnsi="Calibri" w:eastAsia="Calibri"/>
                <w:b w:val="0"/>
                <w:i w:val="0"/>
                <w:color w:val="6E6880"/>
                <w:sz w:val="17"/>
              </w:rPr>
              <w:t>Servicios de protección integral</w:t>
            </w:r>
          </w:p>
        </w:tc>
        <w:tc>
          <w:tcPr>
            <w:tcW w:type="dxa" w:w="5112"/>
            <w:shd w:val="clear" w:color="auto" w:fill="F7F5FA"/>
            <w:tcBorders>
              <w:top w:val="single" w:sz="24" w:color="F8C018"/>
              <w:left w:val="single" w:sz="24" w:color="FFFFFF"/>
              <w:bottom w:val="single" w:sz="48" w:color="FFFFFF"/>
              <w:right w:val="single" w:sz="24" w:color="FFFFFF"/>
            </w:tcBorders>
            <w:tcMar>
              <w:top w:w="140" w:type="dxa"/>
              <w:bottom w:w="140" w:type="dxa"/>
              <w:left w:w="180" w:type="dxa"/>
              <w:right w:w="140" w:type="dxa"/>
            </w:tcMar>
          </w:tcPr>
          <w:p>
            <w:pPr>
              <w:spacing w:after="80" w:line="240" w:lineRule="auto"/>
              <w:jc w:val="left"/>
            </w:pPr>
            <w:r/>
            <w:r>
              <w:rPr>
                <w:rFonts w:ascii="Calibri" w:hAnsi="Calibri" w:eastAsia="Calibri"/>
                <w:b/>
                <w:i w:val="0"/>
                <w:color w:val="5A5765"/>
                <w:sz w:val="18"/>
              </w:rPr>
              <w:t>Monto fiscal 2026</w:t>
            </w:r>
          </w:p>
          <w:p>
            <w:pPr>
              <w:spacing w:after="40" w:before="0" w:line="269" w:lineRule="auto"/>
            </w:pPr>
            <w:r>
              <w:rPr>
                <w:rFonts w:ascii="Century Gothic" w:hAnsi="Century Gothic" w:eastAsia="Century Gothic"/>
                <w:b/>
                <w:i w:val="0"/>
                <w:color w:val="2B164F"/>
                <w:sz w:val="40"/>
              </w:rPr>
              <w:t>USD 1.180,00 M</w:t>
            </w:r>
          </w:p>
          <w:p>
            <w:pPr>
              <w:spacing w:after="0" w:before="0" w:line="269" w:lineRule="auto"/>
            </w:pPr>
            <w:r>
              <w:rPr>
                <w:rFonts w:ascii="Calibri" w:hAnsi="Calibri" w:eastAsia="Calibri"/>
                <w:b w:val="0"/>
                <w:i w:val="0"/>
                <w:color w:val="6E6880"/>
                <w:sz w:val="17"/>
              </w:rPr>
              <w:t>Acumulado de gobierno: USD 4.512,40 M</w:t>
            </w:r>
          </w:p>
        </w:tc>
      </w:tr>
    </w:tbl>
    <w:p>
      <w:pPr>
        <w:keepNext/>
        <w:spacing w:after="120" w:before="240" w:line="269" w:lineRule="auto"/>
      </w:pPr>
      <w:r>
        <w:rPr>
          <w:rFonts w:ascii="Century Gothic" w:hAnsi="Century Gothic" w:eastAsia="Century Gothic"/>
          <w:b/>
          <w:i w:val="0"/>
          <w:color w:val="2B164F"/>
          <w:sz w:val="26"/>
        </w:rPr>
        <w:t>Lectura del corte</w:t>
      </w:r>
    </w:p>
    <w:p>
      <w:pPr>
        <w:spacing w:after="80"/>
        <w:ind w:left="317" w:hanging="259"/>
      </w:pPr>
      <w:r>
        <w:rPr>
          <w:rFonts w:ascii="Calibri" w:hAnsi="Calibri" w:eastAsia="Calibri"/>
          <w:b w:val="0"/>
          <w:i w:val="0"/>
          <w:color w:val="F8C018"/>
          <w:sz w:val="16"/>
        </w:rPr>
        <w:t xml:space="preserve">●  </w:t>
      </w:r>
      <w:r>
        <w:rPr>
          <w:rFonts w:ascii="Calibri" w:hAnsi="Calibri" w:eastAsia="Calibri"/>
          <w:b w:val="0"/>
          <w:i w:val="0"/>
          <w:color w:val="20202B"/>
          <w:sz w:val="21"/>
        </w:rPr>
        <w:t>Bono de Desarrollo Humano concentra el 39,2 % del total seleccionado, con 619.073 registros reportados.</w:t>
      </w:r>
    </w:p>
    <w:p>
      <w:pPr>
        <w:spacing w:after="80"/>
        <w:ind w:left="317" w:hanging="259"/>
      </w:pPr>
      <w:r>
        <w:rPr>
          <w:rFonts w:ascii="Calibri" w:hAnsi="Calibri" w:eastAsia="Calibri"/>
          <w:b w:val="0"/>
          <w:i w:val="0"/>
          <w:color w:val="F8C018"/>
          <w:sz w:val="16"/>
        </w:rPr>
        <w:t xml:space="preserve">●  </w:t>
      </w:r>
      <w:r>
        <w:rPr>
          <w:rFonts w:ascii="Calibri" w:hAnsi="Calibri" w:eastAsia="Calibri"/>
          <w:b w:val="0"/>
          <w:i w:val="0"/>
          <w:color w:val="20202B"/>
          <w:sz w:val="21"/>
        </w:rPr>
        <w:t>Guayas, Manabí y Los Ríos concentran el 41,4 % de la cobertura seleccionada en este ámbito.</w:t>
      </w:r>
    </w:p>
    <w:p>
      <w:pPr>
        <w:spacing w:after="80"/>
        <w:ind w:left="317" w:hanging="259"/>
      </w:pPr>
      <w:r>
        <w:rPr>
          <w:rFonts w:ascii="Calibri" w:hAnsi="Calibri" w:eastAsia="Calibri"/>
          <w:b w:val="0"/>
          <w:i w:val="0"/>
          <w:color w:val="F8C018"/>
          <w:sz w:val="16"/>
        </w:rPr>
        <w:t xml:space="preserve">●  </w:t>
      </w:r>
      <w:r>
        <w:rPr>
          <w:rFonts w:ascii="Calibri" w:hAnsi="Calibri" w:eastAsia="Calibri"/>
          <w:b w:val="0"/>
          <w:i w:val="0"/>
          <w:color w:val="20202B"/>
          <w:sz w:val="21"/>
        </w:rPr>
        <w:t>Desarrollo Infantil Integral concentra el 60,3 % del total seleccionado, con 274.975 registros reportados.</w:t>
      </w:r>
    </w:p>
    <w:p>
      <w:pPr>
        <w:spacing w:after="80"/>
        <w:ind w:left="317" w:hanging="259"/>
      </w:pPr>
      <w:r>
        <w:rPr>
          <w:rFonts w:ascii="Calibri" w:hAnsi="Calibri" w:eastAsia="Calibri"/>
          <w:b w:val="0"/>
          <w:i w:val="0"/>
          <w:color w:val="F8C018"/>
          <w:sz w:val="16"/>
        </w:rPr>
        <w:t xml:space="preserve">●  </w:t>
      </w:r>
      <w:r>
        <w:rPr>
          <w:rFonts w:ascii="Calibri" w:hAnsi="Calibri" w:eastAsia="Calibri"/>
          <w:b w:val="0"/>
          <w:i w:val="0"/>
          <w:color w:val="20202B"/>
          <w:sz w:val="21"/>
        </w:rPr>
        <w:t>Guayas, Manabí y Pichincha concentran el 39,1 % de la cobertura seleccionada en este ámbito.</w:t>
      </w:r>
    </w:p>
    <w:tbl>
      <w:tblPr>
        <w:tblW w:type="auto" w:w="0"/>
        <w:jc w:val="center"/>
        <w:tblLook w:firstColumn="1" w:firstRow="1" w:lastColumn="0" w:lastRow="0" w:noHBand="0" w:noVBand="1" w:val="04A0"/>
      </w:tblPr>
      <w:tblGrid>
        <w:gridCol w:w="10224"/>
      </w:tblGrid>
      <w:tr>
        <w:tc>
          <w:tcPr>
            <w:tcW w:type="dxa" w:w="10224"/>
            <w:shd w:val="clear" w:color="auto" w:fill="F1EDFA"/>
            <w:tcBorders>
              <w:top w:val="nil"/>
              <w:left w:val="single" w:sz="24" w:color="512F8D"/>
              <w:bottom w:val="nil"/>
              <w:right w:val="nil"/>
            </w:tcBorders>
            <w:tcMar>
              <w:top w:w="110" w:type="dxa"/>
              <w:bottom w:w="110" w:type="dxa"/>
              <w:left w:w="160" w:type="dxa"/>
              <w:right w:w="160" w:type="dxa"/>
            </w:tcMar>
          </w:tcPr>
          <w:p>
            <w:pPr>
              <w:spacing w:after="0"/>
            </w:pPr>
            <w:r/>
            <w:r>
              <w:rPr>
                <w:rFonts w:ascii="Century Gothic" w:hAnsi="Century Gothic" w:eastAsia="Century Gothic"/>
                <w:b/>
                <w:i w:val="0"/>
                <w:color w:val="3D216D"/>
                <w:sz w:val="19"/>
              </w:rPr>
              <w:t xml:space="preserve">Presupuesto ejecutado: </w:t>
            </w:r>
            <w:r>
              <w:rPr>
                <w:rFonts w:ascii="Calibri" w:hAnsi="Calibri" w:eastAsia="Calibri"/>
                <w:b w:val="0"/>
                <w:i w:val="0"/>
                <w:color w:val="4C3A6A"/>
                <w:sz w:val="19"/>
              </w:rPr>
              <w:t>N/D. El Excel de origen presenta montos presupuestarios acumulados, pero no acredita por sí solo su fase de ejecución. Este indicador se habilita con una fuente adicional validada.</w:t>
            </w:r>
          </w:p>
        </w:tc>
      </w:tr>
    </w:tbl>
    <w:p>
      <w:pPr>
        <w:spacing w:after="40" w:before="0" w:line="269" w:lineRule="auto"/>
      </w:pPr>
      <w:r>
        <w:rPr>
          <w:rFonts w:ascii="Calibri" w:hAnsi="Calibri" w:eastAsia="Calibri"/>
          <w:b w:val="0"/>
          <w:i w:val="0"/>
          <w:color w:val="20202B"/>
          <w:sz w:val="21"/>
        </w:rPr>
      </w:r>
    </w:p>
    <w:p>
      <w:pPr>
        <w:keepNext/>
        <w:spacing w:after="120" w:before="240" w:line="269" w:lineRule="auto"/>
      </w:pPr>
      <w:r>
        <w:rPr>
          <w:rFonts w:ascii="Century Gothic" w:hAnsi="Century Gothic" w:eastAsia="Century Gothic"/>
          <w:b/>
          <w:i w:val="0"/>
          <w:color w:val="2B164F"/>
          <w:sz w:val="23"/>
        </w:rPr>
        <w:t>Criterios de lectura</w:t>
      </w:r>
    </w:p>
    <w:p>
      <w:pPr>
        <w:spacing w:after="80" w:before="0" w:line="269" w:lineRule="auto"/>
      </w:pPr>
      <w:r>
        <w:rPr>
          <w:rFonts w:ascii="Calibri" w:hAnsi="Calibri" w:eastAsia="Calibri"/>
          <w:b w:val="0"/>
          <w:i w:val="0"/>
          <w:color w:val="6E6880"/>
          <w:sz w:val="18"/>
        </w:rPr>
        <w:t>Beneficiarios y usuarios corresponden a conteos reportados en una base agregada. La fuente no permite comprobar personas únicas ni eliminar coincidencias entre programas.</w:t>
      </w:r>
    </w:p>
    <w:p>
      <w:pPr>
        <w:spacing w:after="0" w:before="0" w:line="269" w:lineRule="auto"/>
      </w:pPr>
      <w:r>
        <w:rPr>
          <w:rFonts w:ascii="Calibri" w:hAnsi="Calibri" w:eastAsia="Calibri"/>
          <w:b w:val="0"/>
          <w:i w:val="0"/>
          <w:color w:val="6E6880"/>
          <w:sz w:val="18"/>
        </w:rPr>
        <w:t>El monto fiscal corresponde a la columna Presupuesto 2026 de la fuente. El acumulado de gobierno incluye el monto fiscal y los períodos anteriores. No deben sumarse entre sí. Fuente: Acumulado VIS-VIE.xlsx; corte septiembre 2026.</w:t>
      </w:r>
    </w:p>
    <w:p>
      <w:r>
        <w:br w:type="page"/>
      </w:r>
    </w:p>
    <w:p>
      <w:pPr>
        <w:keepNext/>
        <w:spacing w:after="40" w:before="0" w:line="269" w:lineRule="auto"/>
      </w:pPr>
      <w:r>
        <w:rPr>
          <w:rFonts w:ascii="Century Gothic" w:hAnsi="Century Gothic" w:eastAsia="Century Gothic"/>
          <w:b/>
          <w:i w:val="0"/>
          <w:color w:val="2B164F"/>
          <w:sz w:val="40"/>
        </w:rPr>
        <w:t>Bonos y pensiones</w:t>
      </w:r>
    </w:p>
    <w:p>
      <w:pPr>
        <w:spacing w:after="120" w:before="0" w:line="269" w:lineRule="auto"/>
      </w:pPr>
      <w:r>
        <w:rPr>
          <w:rFonts w:ascii="Calibri" w:hAnsi="Calibri" w:eastAsia="Calibri"/>
          <w:b/>
          <w:i w:val="0"/>
          <w:color w:val="512F8D"/>
          <w:sz w:val="24"/>
        </w:rPr>
        <w:t>1.578.019 beneficiarios reportados</w:t>
      </w:r>
    </w:p>
    <w:p>
      <w:pPr>
        <w:spacing w:after="160" w:before="0" w:line="269" w:lineRule="auto"/>
      </w:pPr>
      <w:r>
        <w:rPr>
          <w:rFonts w:ascii="Calibri" w:hAnsi="Calibri" w:eastAsia="Calibri"/>
          <w:b w:val="0"/>
          <w:i w:val="0"/>
          <w:color w:val="20202B"/>
          <w:sz w:val="21"/>
        </w:rPr>
        <w:t>Bono de Desarrollo Humano concentra el 39,2 % del total seleccionado, con 619.073 registros reportados.</w:t>
      </w:r>
    </w:p>
    <w:tbl>
      <w:tblPr>
        <w:tblW w:type="auto" w:w="0"/>
        <w:jc w:val="center"/>
        <w:tblLayout w:type="fixed"/>
        <w:tblLook w:firstColumn="1" w:firstRow="1" w:lastColumn="0" w:lastRow="0" w:noHBand="0" w:noVBand="1" w:val="04A0"/>
      </w:tblPr>
      <w:tblGrid>
        <w:gridCol w:w="4320"/>
        <w:gridCol w:w="1872"/>
        <w:gridCol w:w="2016"/>
        <w:gridCol w:w="2016"/>
      </w:tblGrid>
      <w:tr>
        <w:trPr>
          <w:tblHeader/>
          <w:cantSplit/>
        </w:trPr>
        <w:tc>
          <w:tcPr>
            <w:tcW w:type="dxa" w:w="4320"/>
            <w:shd w:val="clear" w:color="auto" w:fill="512F8D"/>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entury Gothic" w:hAnsi="Century Gothic" w:eastAsia="Century Gothic"/>
                <w:b/>
                <w:i w:val="0"/>
                <w:color w:val="FFFFFF"/>
                <w:sz w:val="17"/>
              </w:rPr>
              <w:t>Programa</w:t>
            </w:r>
          </w:p>
        </w:tc>
        <w:tc>
          <w:tcPr>
            <w:tcW w:type="dxa" w:w="1872"/>
            <w:shd w:val="clear" w:color="auto" w:fill="512F8D"/>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entury Gothic" w:hAnsi="Century Gothic" w:eastAsia="Century Gothic"/>
                <w:b/>
                <w:i w:val="0"/>
                <w:color w:val="FFFFFF"/>
                <w:sz w:val="17"/>
              </w:rPr>
              <w:t>Beneficiarios</w:t>
            </w:r>
          </w:p>
        </w:tc>
        <w:tc>
          <w:tcPr>
            <w:tcW w:type="dxa" w:w="2016"/>
            <w:shd w:val="clear" w:color="auto" w:fill="512F8D"/>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entury Gothic" w:hAnsi="Century Gothic" w:eastAsia="Century Gothic"/>
                <w:b/>
                <w:i w:val="0"/>
                <w:color w:val="FFFFFF"/>
                <w:sz w:val="17"/>
              </w:rPr>
              <w:t>Fiscal 2026</w:t>
              <w:br/>
              <w:t>(USD M)</w:t>
            </w:r>
          </w:p>
        </w:tc>
        <w:tc>
          <w:tcPr>
            <w:tcW w:type="dxa" w:w="2016"/>
            <w:shd w:val="clear" w:color="auto" w:fill="512F8D"/>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entury Gothic" w:hAnsi="Century Gothic" w:eastAsia="Century Gothic"/>
                <w:b/>
                <w:i w:val="0"/>
                <w:color w:val="FFFFFF"/>
                <w:sz w:val="17"/>
              </w:rPr>
              <w:t>Gobierno</w:t>
              <w:br/>
              <w:t>(USD M)</w:t>
            </w:r>
          </w:p>
        </w:tc>
      </w:tr>
      <w:tr>
        <w:trPr>
          <w:cantSplit/>
        </w:trPr>
        <w:tc>
          <w:tcPr>
            <w:tcW w:type="dxa" w:w="4320"/>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Bono de Desarrollo Humano</w:t>
            </w:r>
          </w:p>
        </w:tc>
        <w:tc>
          <w:tcPr>
            <w:tcW w:type="dxa" w:w="1872"/>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619.073</w:t>
            </w:r>
          </w:p>
        </w:tc>
        <w:tc>
          <w:tcPr>
            <w:tcW w:type="dxa" w:w="201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270,24</w:t>
            </w:r>
          </w:p>
        </w:tc>
        <w:tc>
          <w:tcPr>
            <w:tcW w:type="dxa" w:w="201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1.072,51</w:t>
            </w:r>
          </w:p>
        </w:tc>
      </w:tr>
      <w:tr>
        <w:trPr>
          <w:cantSplit/>
        </w:trPr>
        <w:tc>
          <w:tcPr>
            <w:tcW w:type="dxa" w:w="4320"/>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Bono de Desarrollo Humano Variable</w:t>
            </w:r>
          </w:p>
        </w:tc>
        <w:tc>
          <w:tcPr>
            <w:tcW w:type="dxa" w:w="1872"/>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367.289</w:t>
            </w:r>
          </w:p>
        </w:tc>
        <w:tc>
          <w:tcPr>
            <w:tcW w:type="dxa" w:w="201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226,00</w:t>
            </w:r>
          </w:p>
        </w:tc>
        <w:tc>
          <w:tcPr>
            <w:tcW w:type="dxa" w:w="201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805,61</w:t>
            </w:r>
          </w:p>
        </w:tc>
      </w:tr>
      <w:tr>
        <w:trPr>
          <w:cantSplit/>
        </w:trPr>
        <w:tc>
          <w:tcPr>
            <w:tcW w:type="dxa" w:w="4320"/>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Pensión Mis Mejores Años</w:t>
            </w:r>
          </w:p>
        </w:tc>
        <w:tc>
          <w:tcPr>
            <w:tcW w:type="dxa" w:w="1872"/>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303.845</w:t>
            </w:r>
          </w:p>
        </w:tc>
        <w:tc>
          <w:tcPr>
            <w:tcW w:type="dxa" w:w="201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259,22</w:t>
            </w:r>
          </w:p>
        </w:tc>
        <w:tc>
          <w:tcPr>
            <w:tcW w:type="dxa" w:w="201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988,53</w:t>
            </w:r>
          </w:p>
        </w:tc>
      </w:tr>
      <w:tr>
        <w:trPr>
          <w:cantSplit/>
        </w:trPr>
        <w:tc>
          <w:tcPr>
            <w:tcW w:type="dxa" w:w="4320"/>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Bono 1.000 Días</w:t>
            </w:r>
          </w:p>
        </w:tc>
        <w:tc>
          <w:tcPr>
            <w:tcW w:type="dxa" w:w="1872"/>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164.983</w:t>
            </w:r>
          </w:p>
        </w:tc>
        <w:tc>
          <w:tcPr>
            <w:tcW w:type="dxa" w:w="201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84,69</w:t>
            </w:r>
          </w:p>
        </w:tc>
        <w:tc>
          <w:tcPr>
            <w:tcW w:type="dxa" w:w="201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263,81</w:t>
            </w:r>
          </w:p>
        </w:tc>
      </w:tr>
      <w:tr>
        <w:trPr>
          <w:cantSplit/>
        </w:trPr>
        <w:tc>
          <w:tcPr>
            <w:tcW w:type="dxa" w:w="4320"/>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Pensión Toda Una Vida</w:t>
            </w:r>
          </w:p>
        </w:tc>
        <w:tc>
          <w:tcPr>
            <w:tcW w:type="dxa" w:w="1872"/>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72.700</w:t>
            </w:r>
          </w:p>
        </w:tc>
        <w:tc>
          <w:tcPr>
            <w:tcW w:type="dxa" w:w="201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64,08</w:t>
            </w:r>
          </w:p>
        </w:tc>
        <w:tc>
          <w:tcPr>
            <w:tcW w:type="dxa" w:w="201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247,69</w:t>
            </w:r>
          </w:p>
        </w:tc>
      </w:tr>
      <w:tr>
        <w:trPr>
          <w:cantSplit/>
        </w:trPr>
        <w:tc>
          <w:tcPr>
            <w:tcW w:type="dxa" w:w="4320"/>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Bono Joaquín Gallegos Lara</w:t>
            </w:r>
          </w:p>
        </w:tc>
        <w:tc>
          <w:tcPr>
            <w:tcW w:type="dxa" w:w="1872"/>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50.129</w:t>
            </w:r>
          </w:p>
        </w:tc>
        <w:tc>
          <w:tcPr>
            <w:tcW w:type="dxa" w:w="201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107,03</w:t>
            </w:r>
          </w:p>
        </w:tc>
        <w:tc>
          <w:tcPr>
            <w:tcW w:type="dxa" w:w="201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380,56</w:t>
            </w:r>
          </w:p>
        </w:tc>
      </w:tr>
      <w:tr>
        <w:trPr>
          <w:cantSplit/>
        </w:trPr>
        <w:tc>
          <w:tcPr>
            <w:tcW w:type="dxa" w:w="4320"/>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Pensión para Adultos Mayores</w:t>
            </w:r>
          </w:p>
        </w:tc>
        <w:tc>
          <w:tcPr>
            <w:tcW w:type="dxa" w:w="1872"/>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0</w:t>
            </w:r>
          </w:p>
        </w:tc>
        <w:tc>
          <w:tcPr>
            <w:tcW w:type="dxa" w:w="201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0,00</w:t>
            </w:r>
          </w:p>
        </w:tc>
        <w:tc>
          <w:tcPr>
            <w:tcW w:type="dxa" w:w="201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0,21</w:t>
            </w:r>
          </w:p>
        </w:tc>
      </w:tr>
      <w:tr>
        <w:trPr>
          <w:cantSplit/>
        </w:trPr>
        <w:tc>
          <w:tcPr>
            <w:tcW w:type="dxa" w:w="4320"/>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Pensión para Personas con Discapacidad</w:t>
            </w:r>
          </w:p>
        </w:tc>
        <w:tc>
          <w:tcPr>
            <w:tcW w:type="dxa" w:w="1872"/>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0</w:t>
            </w:r>
          </w:p>
        </w:tc>
        <w:tc>
          <w:tcPr>
            <w:tcW w:type="dxa" w:w="201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0,00</w:t>
            </w:r>
          </w:p>
        </w:tc>
        <w:tc>
          <w:tcPr>
            <w:tcW w:type="dxa" w:w="201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0,07</w:t>
            </w:r>
          </w:p>
        </w:tc>
      </w:tr>
      <w:tr>
        <w:trPr>
          <w:cantSplit/>
        </w:trPr>
        <w:tc>
          <w:tcPr>
            <w:tcW w:type="dxa" w:w="4320"/>
            <w:shd w:val="clear" w:color="auto" w:fill="EBE5F3"/>
            <w:vAlign w:val="center"/>
            <w:tcBorders>
              <w:top w:val="single" w:sz="12" w:color="512F8D"/>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Total de la selección</w:t>
            </w:r>
          </w:p>
        </w:tc>
        <w:tc>
          <w:tcPr>
            <w:tcW w:type="dxa" w:w="1872"/>
            <w:shd w:val="clear" w:color="auto" w:fill="EBE5F3"/>
            <w:vAlign w:val="center"/>
            <w:tcBorders>
              <w:top w:val="single" w:sz="12" w:color="512F8D"/>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i w:val="0"/>
                <w:color w:val="2B164F"/>
                <w:sz w:val="19"/>
              </w:rPr>
              <w:t>1.578.019</w:t>
            </w:r>
          </w:p>
        </w:tc>
        <w:tc>
          <w:tcPr>
            <w:tcW w:type="dxa" w:w="2016"/>
            <w:shd w:val="clear" w:color="auto" w:fill="EBE5F3"/>
            <w:vAlign w:val="center"/>
            <w:tcBorders>
              <w:top w:val="single" w:sz="12" w:color="512F8D"/>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i w:val="0"/>
                <w:color w:val="2B164F"/>
                <w:sz w:val="19"/>
              </w:rPr>
              <w:t>1.011,25</w:t>
            </w:r>
          </w:p>
        </w:tc>
        <w:tc>
          <w:tcPr>
            <w:tcW w:type="dxa" w:w="2016"/>
            <w:shd w:val="clear" w:color="auto" w:fill="EBE5F3"/>
            <w:vAlign w:val="center"/>
            <w:tcBorders>
              <w:top w:val="single" w:sz="12" w:color="512F8D"/>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i w:val="0"/>
                <w:color w:val="2B164F"/>
                <w:sz w:val="19"/>
              </w:rPr>
              <w:t>3.758,99</w:t>
            </w:r>
          </w:p>
        </w:tc>
      </w:tr>
    </w:tbl>
    <w:p>
      <w:pPr>
        <w:spacing w:after="120" w:before="80" w:line="269" w:lineRule="auto"/>
      </w:pPr>
      <w:r>
        <w:rPr>
          <w:rFonts w:ascii="Calibri" w:hAnsi="Calibri" w:eastAsia="Calibri"/>
          <w:b w:val="0"/>
          <w:i w:val="0"/>
          <w:color w:val="6E6880"/>
          <w:sz w:val="17"/>
        </w:rPr>
        <w:t>Montos acumulados en millones de USD. El acumulado de gobierno ya incluye el monto fiscal; no se suman entre sí.</w:t>
      </w:r>
    </w:p>
    <w:p>
      <w:pPr>
        <w:keepNext/>
        <w:spacing w:after="120" w:before="240" w:line="269" w:lineRule="auto"/>
      </w:pPr>
      <w:r>
        <w:rPr>
          <w:rFonts w:ascii="Century Gothic" w:hAnsi="Century Gothic" w:eastAsia="Century Gothic"/>
          <w:b/>
          <w:i w:val="0"/>
          <w:color w:val="2B164F"/>
          <w:sz w:val="24"/>
        </w:rPr>
        <w:t>Cobertura por programa</w:t>
      </w:r>
    </w:p>
    <w:p>
      <w:r>
        <w:drawing>
          <wp:inline xmlns:a="http://schemas.openxmlformats.org/drawingml/2006/main" xmlns:pic="http://schemas.openxmlformats.org/drawingml/2006/picture">
            <wp:extent cx="6492240" cy="1663636"/>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92240" cy="1663636"/>
                    </a:xfrm>
                    <a:prstGeom prst="rect"/>
                  </pic:spPr>
                </pic:pic>
              </a:graphicData>
            </a:graphic>
          </wp:inline>
        </w:drawing>
      </w:r>
    </w:p>
    <w:p>
      <w:pPr>
        <w:keepNext/>
        <w:spacing w:after="120" w:before="240" w:line="269" w:lineRule="auto"/>
      </w:pPr>
      <w:r>
        <w:rPr>
          <w:rFonts w:ascii="Century Gothic" w:hAnsi="Century Gothic" w:eastAsia="Century Gothic"/>
          <w:b/>
          <w:i w:val="0"/>
          <w:color w:val="2B164F"/>
          <w:sz w:val="24"/>
        </w:rPr>
        <w:t>Provincias con mayor cobertura</w:t>
      </w:r>
    </w:p>
    <w:p>
      <w:r>
        <w:drawing>
          <wp:inline xmlns:a="http://schemas.openxmlformats.org/drawingml/2006/main" xmlns:pic="http://schemas.openxmlformats.org/drawingml/2006/picture">
            <wp:extent cx="6492240" cy="1379601"/>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492240" cy="1379601"/>
                    </a:xfrm>
                    <a:prstGeom prst="rect"/>
                  </pic:spPr>
                </pic:pic>
              </a:graphicData>
            </a:graphic>
          </wp:inline>
        </w:drawing>
      </w:r>
    </w:p>
    <w:p>
      <w:pPr>
        <w:spacing w:after="120" w:before="0" w:line="269" w:lineRule="auto"/>
      </w:pPr>
      <w:r>
        <w:rPr>
          <w:rFonts w:ascii="Calibri" w:hAnsi="Calibri" w:eastAsia="Calibri"/>
          <w:b w:val="0"/>
          <w:i w:val="0"/>
          <w:color w:val="6E6880"/>
          <w:sz w:val="18"/>
        </w:rPr>
        <w:t>Guayas, Manabí y Los Ríos concentran el 41,4 % de la cobertura seleccionada en este ámbito. Los conteos agregados no permiten verificar personas únicas. Presupuesto ejecutado: N/D.</w:t>
      </w:r>
    </w:p>
    <w:p>
      <w:r>
        <w:br w:type="page"/>
      </w:r>
    </w:p>
    <w:p>
      <w:pPr>
        <w:keepNext/>
        <w:spacing w:after="40" w:before="0" w:line="269" w:lineRule="auto"/>
      </w:pPr>
      <w:r>
        <w:rPr>
          <w:rFonts w:ascii="Century Gothic" w:hAnsi="Century Gothic" w:eastAsia="Century Gothic"/>
          <w:b/>
          <w:i w:val="0"/>
          <w:color w:val="2B164F"/>
          <w:sz w:val="40"/>
        </w:rPr>
        <w:t>Servicios de protección integral</w:t>
      </w:r>
    </w:p>
    <w:p>
      <w:pPr>
        <w:spacing w:after="120" w:before="0" w:line="269" w:lineRule="auto"/>
      </w:pPr>
      <w:r>
        <w:rPr>
          <w:rFonts w:ascii="Calibri" w:hAnsi="Calibri" w:eastAsia="Calibri"/>
          <w:b/>
          <w:i w:val="0"/>
          <w:color w:val="512F8D"/>
          <w:sz w:val="24"/>
        </w:rPr>
        <w:t>456.239 usuarios reportados · 11.158 unidades de atención</w:t>
      </w:r>
    </w:p>
    <w:p>
      <w:pPr>
        <w:spacing w:after="160" w:before="0" w:line="269" w:lineRule="auto"/>
      </w:pPr>
      <w:r>
        <w:rPr>
          <w:rFonts w:ascii="Calibri" w:hAnsi="Calibri" w:eastAsia="Calibri"/>
          <w:b w:val="0"/>
          <w:i w:val="0"/>
          <w:color w:val="20202B"/>
          <w:sz w:val="21"/>
        </w:rPr>
        <w:t>Desarrollo Infantil Integral concentra el 60,3 % del total seleccionado, con 274.975 registros reportados.</w:t>
      </w:r>
    </w:p>
    <w:tbl>
      <w:tblPr>
        <w:tblW w:type="auto" w:w="0"/>
        <w:jc w:val="center"/>
        <w:tblLayout w:type="fixed"/>
        <w:tblLook w:firstColumn="1" w:firstRow="1" w:lastColumn="0" w:lastRow="0" w:noHBand="0" w:noVBand="1" w:val="04A0"/>
      </w:tblPr>
      <w:tblGrid>
        <w:gridCol w:w="3528"/>
        <w:gridCol w:w="1512"/>
        <w:gridCol w:w="1224"/>
        <w:gridCol w:w="1944"/>
        <w:gridCol w:w="2016"/>
      </w:tblGrid>
      <w:tr>
        <w:trPr>
          <w:tblHeader/>
          <w:cantSplit/>
        </w:trPr>
        <w:tc>
          <w:tcPr>
            <w:tcW w:type="dxa" w:w="3528"/>
            <w:shd w:val="clear" w:color="auto" w:fill="512F8D"/>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entury Gothic" w:hAnsi="Century Gothic" w:eastAsia="Century Gothic"/>
                <w:b/>
                <w:i w:val="0"/>
                <w:color w:val="FFFFFF"/>
                <w:sz w:val="17"/>
              </w:rPr>
              <w:t>Servicio</w:t>
            </w:r>
          </w:p>
        </w:tc>
        <w:tc>
          <w:tcPr>
            <w:tcW w:type="dxa" w:w="1512"/>
            <w:shd w:val="clear" w:color="auto" w:fill="512F8D"/>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entury Gothic" w:hAnsi="Century Gothic" w:eastAsia="Century Gothic"/>
                <w:b/>
                <w:i w:val="0"/>
                <w:color w:val="FFFFFF"/>
                <w:sz w:val="17"/>
              </w:rPr>
              <w:t>Usuarios</w:t>
            </w:r>
          </w:p>
        </w:tc>
        <w:tc>
          <w:tcPr>
            <w:tcW w:type="dxa" w:w="1224"/>
            <w:shd w:val="clear" w:color="auto" w:fill="512F8D"/>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entury Gothic" w:hAnsi="Century Gothic" w:eastAsia="Century Gothic"/>
                <w:b/>
                <w:i w:val="0"/>
                <w:color w:val="FFFFFF"/>
                <w:sz w:val="17"/>
              </w:rPr>
              <w:t>Unidades</w:t>
            </w:r>
          </w:p>
        </w:tc>
        <w:tc>
          <w:tcPr>
            <w:tcW w:type="dxa" w:w="1944"/>
            <w:shd w:val="clear" w:color="auto" w:fill="512F8D"/>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entury Gothic" w:hAnsi="Century Gothic" w:eastAsia="Century Gothic"/>
                <w:b/>
                <w:i w:val="0"/>
                <w:color w:val="FFFFFF"/>
                <w:sz w:val="17"/>
              </w:rPr>
              <w:t>Fiscal 2026</w:t>
              <w:br/>
              <w:t>(USD M)</w:t>
            </w:r>
          </w:p>
        </w:tc>
        <w:tc>
          <w:tcPr>
            <w:tcW w:type="dxa" w:w="2016"/>
            <w:shd w:val="clear" w:color="auto" w:fill="512F8D"/>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entury Gothic" w:hAnsi="Century Gothic" w:eastAsia="Century Gothic"/>
                <w:b/>
                <w:i w:val="0"/>
                <w:color w:val="FFFFFF"/>
                <w:sz w:val="17"/>
              </w:rPr>
              <w:t>Gobierno</w:t>
              <w:br/>
              <w:t>(USD M)</w:t>
            </w:r>
          </w:p>
        </w:tc>
      </w:tr>
      <w:tr>
        <w:trPr>
          <w:cantSplit/>
        </w:trPr>
        <w:tc>
          <w:tcPr>
            <w:tcW w:type="dxa" w:w="3528"/>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Desarrollo Infantil Integral</w:t>
            </w:r>
          </w:p>
        </w:tc>
        <w:tc>
          <w:tcPr>
            <w:tcW w:type="dxa" w:w="1512"/>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274.975</w:t>
            </w:r>
          </w:p>
        </w:tc>
        <w:tc>
          <w:tcPr>
            <w:tcW w:type="dxa" w:w="1224"/>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6.759</w:t>
            </w:r>
          </w:p>
        </w:tc>
        <w:tc>
          <w:tcPr>
            <w:tcW w:type="dxa" w:w="1944"/>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106,08</w:t>
            </w:r>
          </w:p>
        </w:tc>
        <w:tc>
          <w:tcPr>
            <w:tcW w:type="dxa" w:w="201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478,82</w:t>
            </w:r>
          </w:p>
        </w:tc>
      </w:tr>
      <w:tr>
        <w:trPr>
          <w:cantSplit/>
        </w:trPr>
        <w:tc>
          <w:tcPr>
            <w:tcW w:type="dxa" w:w="3528"/>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Personas adultas mayores</w:t>
            </w:r>
          </w:p>
        </w:tc>
        <w:tc>
          <w:tcPr>
            <w:tcW w:type="dxa" w:w="1512"/>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114.697</w:t>
            </w:r>
          </w:p>
        </w:tc>
        <w:tc>
          <w:tcPr>
            <w:tcW w:type="dxa" w:w="1224"/>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2.792</w:t>
            </w:r>
          </w:p>
        </w:tc>
        <w:tc>
          <w:tcPr>
            <w:tcW w:type="dxa" w:w="1944"/>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34,61</w:t>
            </w:r>
          </w:p>
        </w:tc>
        <w:tc>
          <w:tcPr>
            <w:tcW w:type="dxa" w:w="201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145,81</w:t>
            </w:r>
          </w:p>
        </w:tc>
      </w:tr>
      <w:tr>
        <w:trPr>
          <w:cantSplit/>
        </w:trPr>
        <w:tc>
          <w:tcPr>
            <w:tcW w:type="dxa" w:w="3528"/>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Personas con discapacidad</w:t>
            </w:r>
          </w:p>
        </w:tc>
        <w:tc>
          <w:tcPr>
            <w:tcW w:type="dxa" w:w="1512"/>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37.039</w:t>
            </w:r>
          </w:p>
        </w:tc>
        <w:tc>
          <w:tcPr>
            <w:tcW w:type="dxa" w:w="1224"/>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1.229</w:t>
            </w:r>
          </w:p>
        </w:tc>
        <w:tc>
          <w:tcPr>
            <w:tcW w:type="dxa" w:w="1944"/>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12,05</w:t>
            </w:r>
          </w:p>
        </w:tc>
        <w:tc>
          <w:tcPr>
            <w:tcW w:type="dxa" w:w="201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50,92</w:t>
            </w:r>
          </w:p>
        </w:tc>
      </w:tr>
      <w:tr>
        <w:trPr>
          <w:cantSplit/>
        </w:trPr>
        <w:tc>
          <w:tcPr>
            <w:tcW w:type="dxa" w:w="3528"/>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Protección Especial</w:t>
            </w:r>
          </w:p>
        </w:tc>
        <w:tc>
          <w:tcPr>
            <w:tcW w:type="dxa" w:w="1512"/>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29.528</w:t>
            </w:r>
          </w:p>
        </w:tc>
        <w:tc>
          <w:tcPr>
            <w:tcW w:type="dxa" w:w="1224"/>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378</w:t>
            </w:r>
          </w:p>
        </w:tc>
        <w:tc>
          <w:tcPr>
            <w:tcW w:type="dxa" w:w="1944"/>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16,01</w:t>
            </w:r>
          </w:p>
        </w:tc>
        <w:tc>
          <w:tcPr>
            <w:tcW w:type="dxa" w:w="201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77,85</w:t>
            </w:r>
          </w:p>
        </w:tc>
      </w:tr>
      <w:tr>
        <w:trPr>
          <w:cantSplit/>
        </w:trPr>
        <w:tc>
          <w:tcPr>
            <w:tcW w:type="dxa" w:w="3528"/>
            <w:shd w:val="clear" w:color="auto" w:fill="EBE5F3"/>
            <w:vAlign w:val="center"/>
            <w:tcBorders>
              <w:top w:val="single" w:sz="12" w:color="512F8D"/>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Total de la selección</w:t>
            </w:r>
          </w:p>
        </w:tc>
        <w:tc>
          <w:tcPr>
            <w:tcW w:type="dxa" w:w="1512"/>
            <w:shd w:val="clear" w:color="auto" w:fill="EBE5F3"/>
            <w:vAlign w:val="center"/>
            <w:tcBorders>
              <w:top w:val="single" w:sz="12" w:color="512F8D"/>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i w:val="0"/>
                <w:color w:val="2B164F"/>
                <w:sz w:val="19"/>
              </w:rPr>
              <w:t>456.239</w:t>
            </w:r>
          </w:p>
        </w:tc>
        <w:tc>
          <w:tcPr>
            <w:tcW w:type="dxa" w:w="1224"/>
            <w:shd w:val="clear" w:color="auto" w:fill="EBE5F3"/>
            <w:vAlign w:val="center"/>
            <w:tcBorders>
              <w:top w:val="single" w:sz="12" w:color="512F8D"/>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i w:val="0"/>
                <w:color w:val="2B164F"/>
                <w:sz w:val="19"/>
              </w:rPr>
              <w:t>11.158</w:t>
            </w:r>
          </w:p>
        </w:tc>
        <w:tc>
          <w:tcPr>
            <w:tcW w:type="dxa" w:w="1944"/>
            <w:shd w:val="clear" w:color="auto" w:fill="EBE5F3"/>
            <w:vAlign w:val="center"/>
            <w:tcBorders>
              <w:top w:val="single" w:sz="12" w:color="512F8D"/>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i w:val="0"/>
                <w:color w:val="2B164F"/>
                <w:sz w:val="19"/>
              </w:rPr>
              <w:t>168,75</w:t>
            </w:r>
          </w:p>
        </w:tc>
        <w:tc>
          <w:tcPr>
            <w:tcW w:type="dxa" w:w="2016"/>
            <w:shd w:val="clear" w:color="auto" w:fill="EBE5F3"/>
            <w:vAlign w:val="center"/>
            <w:tcBorders>
              <w:top w:val="single" w:sz="12" w:color="512F8D"/>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i w:val="0"/>
                <w:color w:val="2B164F"/>
                <w:sz w:val="19"/>
              </w:rPr>
              <w:t>753,41</w:t>
            </w:r>
          </w:p>
        </w:tc>
      </w:tr>
    </w:tbl>
    <w:p>
      <w:pPr>
        <w:spacing w:after="120" w:before="80" w:line="269" w:lineRule="auto"/>
      </w:pPr>
      <w:r>
        <w:rPr>
          <w:rFonts w:ascii="Calibri" w:hAnsi="Calibri" w:eastAsia="Calibri"/>
          <w:b w:val="0"/>
          <w:i w:val="0"/>
          <w:color w:val="6E6880"/>
          <w:sz w:val="17"/>
        </w:rPr>
        <w:t>Montos acumulados en millones de USD. El acumulado de gobierno ya incluye el monto fiscal; no se suman entre sí.</w:t>
      </w:r>
    </w:p>
    <w:p>
      <w:pPr>
        <w:keepNext/>
        <w:spacing w:after="120" w:before="240" w:line="269" w:lineRule="auto"/>
      </w:pPr>
      <w:r>
        <w:rPr>
          <w:rFonts w:ascii="Century Gothic" w:hAnsi="Century Gothic" w:eastAsia="Century Gothic"/>
          <w:b/>
          <w:i w:val="0"/>
          <w:color w:val="2B164F"/>
          <w:sz w:val="24"/>
        </w:rPr>
        <w:t>Cobertura por servicio</w:t>
      </w:r>
    </w:p>
    <w:p>
      <w:r>
        <w:drawing>
          <wp:inline xmlns:a="http://schemas.openxmlformats.org/drawingml/2006/main" xmlns:pic="http://schemas.openxmlformats.org/drawingml/2006/picture">
            <wp:extent cx="6492240" cy="1379601"/>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492240" cy="1379601"/>
                    </a:xfrm>
                    <a:prstGeom prst="rect"/>
                  </pic:spPr>
                </pic:pic>
              </a:graphicData>
            </a:graphic>
          </wp:inline>
        </w:drawing>
      </w:r>
    </w:p>
    <w:p>
      <w:pPr>
        <w:keepNext/>
        <w:spacing w:after="120" w:before="240" w:line="269" w:lineRule="auto"/>
      </w:pPr>
      <w:r>
        <w:rPr>
          <w:rFonts w:ascii="Century Gothic" w:hAnsi="Century Gothic" w:eastAsia="Century Gothic"/>
          <w:b/>
          <w:i w:val="0"/>
          <w:color w:val="2B164F"/>
          <w:sz w:val="24"/>
        </w:rPr>
        <w:t>Provincias con mayor cobertura</w:t>
      </w:r>
    </w:p>
    <w:p>
      <w:r>
        <w:drawing>
          <wp:inline xmlns:a="http://schemas.openxmlformats.org/drawingml/2006/main" xmlns:pic="http://schemas.openxmlformats.org/drawingml/2006/picture">
            <wp:extent cx="6492240" cy="1379601"/>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492240" cy="1379601"/>
                    </a:xfrm>
                    <a:prstGeom prst="rect"/>
                  </pic:spPr>
                </pic:pic>
              </a:graphicData>
            </a:graphic>
          </wp:inline>
        </w:drawing>
      </w:r>
    </w:p>
    <w:p>
      <w:pPr>
        <w:spacing w:after="120" w:before="0" w:line="269" w:lineRule="auto"/>
      </w:pPr>
      <w:r>
        <w:rPr>
          <w:rFonts w:ascii="Calibri" w:hAnsi="Calibri" w:eastAsia="Calibri"/>
          <w:b w:val="0"/>
          <w:i w:val="0"/>
          <w:color w:val="6E6880"/>
          <w:sz w:val="18"/>
        </w:rPr>
        <w:t>Guayas, Manabí y Pichincha concentran el 39,1 % de la cobertura seleccionada en este ámbito. Los conteos agregados no permiten verificar personas únicas. Presupuesto ejecutado: N/D.</w:t>
      </w:r>
    </w:p>
    <w:p>
      <w:r>
        <w:br w:type="page"/>
      </w:r>
    </w:p>
    <w:p>
      <w:pPr>
        <w:keepNext/>
        <w:spacing w:after="40" w:before="0" w:line="269" w:lineRule="auto"/>
      </w:pPr>
      <w:r>
        <w:rPr>
          <w:rFonts w:ascii="Century Gothic" w:hAnsi="Century Gothic" w:eastAsia="Century Gothic"/>
          <w:b/>
          <w:i w:val="0"/>
          <w:color w:val="2B164F"/>
          <w:sz w:val="40"/>
        </w:rPr>
        <w:t>Cobertura en el territorio</w:t>
      </w:r>
    </w:p>
    <w:p>
      <w:pPr>
        <w:spacing w:after="120" w:before="0" w:line="269" w:lineRule="auto"/>
      </w:pPr>
      <w:r>
        <w:rPr>
          <w:rFonts w:ascii="Calibri" w:hAnsi="Calibri" w:eastAsia="Calibri"/>
          <w:b/>
          <w:i w:val="0"/>
          <w:color w:val="512F8D"/>
          <w:sz w:val="24"/>
        </w:rPr>
        <w:t>Beneficiarios y usuarios reportados por provincia en la selección</w:t>
      </w:r>
    </w:p>
    <w:p>
      <w:pPr>
        <w:jc w:val="center"/>
      </w:pPr>
      <w:r>
        <w:drawing>
          <wp:inline xmlns:a="http://schemas.openxmlformats.org/drawingml/2006/main" xmlns:pic="http://schemas.openxmlformats.org/drawingml/2006/picture">
            <wp:extent cx="4754880" cy="4034444"/>
            <wp:docPr id="7" name="Picture 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754880" cy="4034444"/>
                    </a:xfrm>
                    <a:prstGeom prst="rect"/>
                  </pic:spPr>
                </pic:pic>
              </a:graphicData>
            </a:graphic>
          </wp:inline>
        </w:drawing>
      </w:r>
    </w:p>
    <w:p>
      <w:pPr>
        <w:keepNext/>
        <w:spacing w:after="120" w:before="240" w:line="269" w:lineRule="auto"/>
      </w:pPr>
      <w:r>
        <w:rPr>
          <w:rFonts w:ascii="Century Gothic" w:hAnsi="Century Gothic" w:eastAsia="Century Gothic"/>
          <w:b/>
          <w:i w:val="0"/>
          <w:color w:val="2B164F"/>
          <w:sz w:val="24"/>
        </w:rPr>
        <w:t>Provincias con mayor cobertura</w:t>
      </w:r>
    </w:p>
    <w:tbl>
      <w:tblPr>
        <w:tblW w:type="auto" w:w="0"/>
        <w:jc w:val="center"/>
        <w:tblLayout w:type="fixed"/>
        <w:tblLook w:firstColumn="1" w:firstRow="1" w:lastColumn="0" w:lastRow="0" w:noHBand="0" w:noVBand="1" w:val="04A0"/>
      </w:tblPr>
      <w:tblGrid>
        <w:gridCol w:w="4176"/>
        <w:gridCol w:w="2160"/>
        <w:gridCol w:w="1872"/>
        <w:gridCol w:w="2016"/>
      </w:tblGrid>
      <w:tr>
        <w:trPr>
          <w:tblHeader/>
          <w:cantSplit/>
        </w:trPr>
        <w:tc>
          <w:tcPr>
            <w:tcW w:type="dxa" w:w="4176"/>
            <w:shd w:val="clear" w:color="auto" w:fill="512F8D"/>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entury Gothic" w:hAnsi="Century Gothic" w:eastAsia="Century Gothic"/>
                <w:b/>
                <w:i w:val="0"/>
                <w:color w:val="FFFFFF"/>
                <w:sz w:val="17"/>
              </w:rPr>
              <w:t>Provincia</w:t>
            </w:r>
          </w:p>
        </w:tc>
        <w:tc>
          <w:tcPr>
            <w:tcW w:type="dxa" w:w="2160"/>
            <w:shd w:val="clear" w:color="auto" w:fill="512F8D"/>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entury Gothic" w:hAnsi="Century Gothic" w:eastAsia="Century Gothic"/>
                <w:b/>
                <w:i w:val="0"/>
                <w:color w:val="FFFFFF"/>
                <w:sz w:val="17"/>
              </w:rPr>
              <w:t>Cobertura reportada</w:t>
            </w:r>
          </w:p>
        </w:tc>
        <w:tc>
          <w:tcPr>
            <w:tcW w:type="dxa" w:w="1872"/>
            <w:shd w:val="clear" w:color="auto" w:fill="512F8D"/>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entury Gothic" w:hAnsi="Century Gothic" w:eastAsia="Century Gothic"/>
                <w:b/>
                <w:i w:val="0"/>
                <w:color w:val="FFFFFF"/>
                <w:sz w:val="17"/>
              </w:rPr>
              <w:t>Participación</w:t>
            </w:r>
          </w:p>
        </w:tc>
        <w:tc>
          <w:tcPr>
            <w:tcW w:type="dxa" w:w="2016"/>
            <w:shd w:val="clear" w:color="auto" w:fill="512F8D"/>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entury Gothic" w:hAnsi="Century Gothic" w:eastAsia="Century Gothic"/>
                <w:b/>
                <w:i w:val="0"/>
                <w:color w:val="FFFFFF"/>
                <w:sz w:val="17"/>
              </w:rPr>
              <w:t>Región natural</w:t>
            </w:r>
          </w:p>
        </w:tc>
      </w:tr>
      <w:tr>
        <w:trPr>
          <w:cantSplit/>
        </w:trPr>
        <w:tc>
          <w:tcPr>
            <w:tcW w:type="dxa" w:w="417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Guayas</w:t>
            </w:r>
          </w:p>
        </w:tc>
        <w:tc>
          <w:tcPr>
            <w:tcW w:type="dxa" w:w="2160"/>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400.208</w:t>
            </w:r>
          </w:p>
        </w:tc>
        <w:tc>
          <w:tcPr>
            <w:tcW w:type="dxa" w:w="1872"/>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19,7 %</w:t>
            </w:r>
          </w:p>
        </w:tc>
        <w:tc>
          <w:tcPr>
            <w:tcW w:type="dxa" w:w="201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val="0"/>
                <w:i w:val="0"/>
                <w:color w:val="20202B"/>
                <w:sz w:val="19"/>
              </w:rPr>
              <w:t>Costa</w:t>
            </w:r>
          </w:p>
        </w:tc>
      </w:tr>
      <w:tr>
        <w:trPr>
          <w:cantSplit/>
        </w:trPr>
        <w:tc>
          <w:tcPr>
            <w:tcW w:type="dxa" w:w="417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Manabí</w:t>
            </w:r>
          </w:p>
        </w:tc>
        <w:tc>
          <w:tcPr>
            <w:tcW w:type="dxa" w:w="2160"/>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271.948</w:t>
            </w:r>
          </w:p>
        </w:tc>
        <w:tc>
          <w:tcPr>
            <w:tcW w:type="dxa" w:w="1872"/>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13,4 %</w:t>
            </w:r>
          </w:p>
        </w:tc>
        <w:tc>
          <w:tcPr>
            <w:tcW w:type="dxa" w:w="201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val="0"/>
                <w:i w:val="0"/>
                <w:color w:val="20202B"/>
                <w:sz w:val="19"/>
              </w:rPr>
              <w:t>Costa</w:t>
            </w:r>
          </w:p>
        </w:tc>
      </w:tr>
      <w:tr>
        <w:trPr>
          <w:cantSplit/>
        </w:trPr>
        <w:tc>
          <w:tcPr>
            <w:tcW w:type="dxa" w:w="417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Los Ríos</w:t>
            </w:r>
          </w:p>
        </w:tc>
        <w:tc>
          <w:tcPr>
            <w:tcW w:type="dxa" w:w="2160"/>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151.682</w:t>
            </w:r>
          </w:p>
        </w:tc>
        <w:tc>
          <w:tcPr>
            <w:tcW w:type="dxa" w:w="1872"/>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7,5 %</w:t>
            </w:r>
          </w:p>
        </w:tc>
        <w:tc>
          <w:tcPr>
            <w:tcW w:type="dxa" w:w="201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val="0"/>
                <w:i w:val="0"/>
                <w:color w:val="20202B"/>
                <w:sz w:val="19"/>
              </w:rPr>
              <w:t>Costa</w:t>
            </w:r>
          </w:p>
        </w:tc>
      </w:tr>
      <w:tr>
        <w:trPr>
          <w:cantSplit/>
        </w:trPr>
        <w:tc>
          <w:tcPr>
            <w:tcW w:type="dxa" w:w="417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Pichincha</w:t>
            </w:r>
          </w:p>
        </w:tc>
        <w:tc>
          <w:tcPr>
            <w:tcW w:type="dxa" w:w="2160"/>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140.718</w:t>
            </w:r>
          </w:p>
        </w:tc>
        <w:tc>
          <w:tcPr>
            <w:tcW w:type="dxa" w:w="1872"/>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6,9 %</w:t>
            </w:r>
          </w:p>
        </w:tc>
        <w:tc>
          <w:tcPr>
            <w:tcW w:type="dxa" w:w="201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val="0"/>
                <w:i w:val="0"/>
                <w:color w:val="20202B"/>
                <w:sz w:val="19"/>
              </w:rPr>
              <w:t>Sierra</w:t>
            </w:r>
          </w:p>
        </w:tc>
      </w:tr>
      <w:tr>
        <w:trPr>
          <w:cantSplit/>
        </w:trPr>
        <w:tc>
          <w:tcPr>
            <w:tcW w:type="dxa" w:w="417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Esmeraldas</w:t>
            </w:r>
          </w:p>
        </w:tc>
        <w:tc>
          <w:tcPr>
            <w:tcW w:type="dxa" w:w="2160"/>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127.412</w:t>
            </w:r>
          </w:p>
        </w:tc>
        <w:tc>
          <w:tcPr>
            <w:tcW w:type="dxa" w:w="1872"/>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6,3 %</w:t>
            </w:r>
          </w:p>
        </w:tc>
        <w:tc>
          <w:tcPr>
            <w:tcW w:type="dxa" w:w="201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val="0"/>
                <w:i w:val="0"/>
                <w:color w:val="20202B"/>
                <w:sz w:val="19"/>
              </w:rPr>
              <w:t>Costa</w:t>
            </w:r>
          </w:p>
        </w:tc>
      </w:tr>
      <w:tr>
        <w:trPr>
          <w:cantSplit/>
        </w:trPr>
        <w:tc>
          <w:tcPr>
            <w:tcW w:type="dxa" w:w="417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Chimborazo</w:t>
            </w:r>
          </w:p>
        </w:tc>
        <w:tc>
          <w:tcPr>
            <w:tcW w:type="dxa" w:w="2160"/>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88.251</w:t>
            </w:r>
          </w:p>
        </w:tc>
        <w:tc>
          <w:tcPr>
            <w:tcW w:type="dxa" w:w="1872"/>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4,3 %</w:t>
            </w:r>
          </w:p>
        </w:tc>
        <w:tc>
          <w:tcPr>
            <w:tcW w:type="dxa" w:w="201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val="0"/>
                <w:i w:val="0"/>
                <w:color w:val="20202B"/>
                <w:sz w:val="19"/>
              </w:rPr>
              <w:t>Sierra</w:t>
            </w:r>
          </w:p>
        </w:tc>
      </w:tr>
      <w:tr>
        <w:trPr>
          <w:cantSplit/>
        </w:trPr>
        <w:tc>
          <w:tcPr>
            <w:tcW w:type="dxa" w:w="417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Loja</w:t>
            </w:r>
          </w:p>
        </w:tc>
        <w:tc>
          <w:tcPr>
            <w:tcW w:type="dxa" w:w="2160"/>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84.300</w:t>
            </w:r>
          </w:p>
        </w:tc>
        <w:tc>
          <w:tcPr>
            <w:tcW w:type="dxa" w:w="1872"/>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4,1 %</w:t>
            </w:r>
          </w:p>
        </w:tc>
        <w:tc>
          <w:tcPr>
            <w:tcW w:type="dxa" w:w="2016"/>
            <w:shd w:val="clear" w:color="auto" w:fill="FFFFFF"/>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val="0"/>
                <w:i w:val="0"/>
                <w:color w:val="20202B"/>
                <w:sz w:val="19"/>
              </w:rPr>
              <w:t>Sierra</w:t>
            </w:r>
          </w:p>
        </w:tc>
      </w:tr>
      <w:tr>
        <w:trPr>
          <w:cantSplit/>
        </w:trPr>
        <w:tc>
          <w:tcPr>
            <w:tcW w:type="dxa" w:w="417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i w:val="0"/>
                <w:color w:val="2B164F"/>
                <w:sz w:val="19"/>
              </w:rPr>
              <w:t>Cotopaxi</w:t>
            </w:r>
          </w:p>
        </w:tc>
        <w:tc>
          <w:tcPr>
            <w:tcW w:type="dxa" w:w="2160"/>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82.242</w:t>
            </w:r>
          </w:p>
        </w:tc>
        <w:tc>
          <w:tcPr>
            <w:tcW w:type="dxa" w:w="1872"/>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right"/>
            </w:pPr>
            <w:r/>
            <w:r>
              <w:rPr>
                <w:rFonts w:ascii="Calibri" w:hAnsi="Calibri" w:eastAsia="Calibri"/>
                <w:b w:val="0"/>
                <w:i w:val="0"/>
                <w:color w:val="20202B"/>
                <w:sz w:val="19"/>
              </w:rPr>
              <w:t>4,0 %</w:t>
            </w:r>
          </w:p>
        </w:tc>
        <w:tc>
          <w:tcPr>
            <w:tcW w:type="dxa" w:w="2016"/>
            <w:shd w:val="clear" w:color="auto" w:fill="F7F5FA"/>
            <w:vAlign w:val="center"/>
            <w:tcBorders>
              <w:top w:val="nil"/>
              <w:left w:val="nil"/>
              <w:bottom w:val="single" w:sz="4" w:color="E7E2EF"/>
              <w:right w:val="nil"/>
            </w:tcBorders>
            <w:tcMar>
              <w:top w:w="70" w:type="dxa"/>
              <w:bottom w:w="70" w:type="dxa"/>
              <w:left w:w="100" w:type="dxa"/>
              <w:right w:w="100" w:type="dxa"/>
            </w:tcMar>
          </w:tcPr>
          <w:p>
            <w:pPr>
              <w:spacing w:after="0" w:line="240" w:lineRule="auto"/>
              <w:jc w:val="left"/>
            </w:pPr>
            <w:r/>
            <w:r>
              <w:rPr>
                <w:rFonts w:ascii="Calibri" w:hAnsi="Calibri" w:eastAsia="Calibri"/>
                <w:b w:val="0"/>
                <w:i w:val="0"/>
                <w:color w:val="20202B"/>
                <w:sz w:val="19"/>
              </w:rPr>
              <w:t>Sierra</w:t>
            </w:r>
          </w:p>
        </w:tc>
      </w:tr>
    </w:tbl>
    <w:p>
      <w:pPr>
        <w:spacing w:after="120" w:before="80" w:line="269" w:lineRule="auto"/>
      </w:pPr>
      <w:r>
        <w:rPr>
          <w:rFonts w:ascii="Calibri" w:hAnsi="Calibri" w:eastAsia="Calibri"/>
          <w:b w:val="0"/>
          <w:i w:val="0"/>
          <w:color w:val="6E6880"/>
          <w:sz w:val="17"/>
        </w:rPr>
        <w:t>Galápagos se muestra en un recuadro fuera de su posición real. La zona en estudio se incluye en los totales sin polígono en el mapa. La cobertura suma registros de distintos programas.</w:t>
      </w:r>
    </w:p>
    <w:sectPr w:rsidR="00FC693F" w:rsidRPr="0006063C" w:rsidSect="00034616">
      <w:footerReference w:type="first" r:id="rId9"/>
      <w:headerReference w:type="default" r:id="rId10"/>
      <w:footerReference w:type="default" r:id="rId11"/>
      <w:pgSz w:w="12240" w:h="15840"/>
      <w:pgMar w:top="1656" w:right="1008" w:bottom="1008" w:left="1008"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i w:val="0"/>
        <w:color w:val="6E6880"/>
        <w:sz w:val="16"/>
      </w:rPr>
      <w:t>Ministerio de Trabajo y Desarrollo Humano · InfoReportes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spacing w:after="0"/>
    </w:pPr>
    <w:r>
      <w:rPr>
        <w:rFonts w:ascii="Calibri" w:hAnsi="Calibri" w:eastAsia="Calibri"/>
        <w:b w:val="0"/>
        <w:i w:val="0"/>
        <w:color w:val="6E6880"/>
        <w:sz w:val="16"/>
      </w:rPr>
      <w:t>Ministerio de Trabajo y Desarrollo Humano · InfoReportes</w:t>
    </w:r>
    <w:r>
      <w:tab/>
    </w:r>
    <w:r>
      <w:rPr>
        <w:rFonts w:ascii="Calibri" w:hAnsi="Calibri" w:eastAsia="Calibri"/>
        <w:b w:val="0"/>
        <w:i w:val="0"/>
        <w:color w:val="6E6880"/>
        <w:sz w:val="16"/>
      </w:rPr>
      <w:t xml:space="preserve">Página </w:t>
    </w:r>
    <w:r>
      <w:rPr>
        <w:rFonts w:ascii="Calibri" w:hAnsi="Calibri" w:eastAsia="Calibri"/>
        <w:b w:val="0"/>
        <w:i w:val="0"/>
        <w:color w:val="6E68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tblLayout w:type="fixed"/>
      <w:tblLook w:firstColumn="1" w:firstRow="1" w:lastColumn="0" w:lastRow="0" w:noHBand="0" w:noVBand="1" w:val="04A0"/>
    </w:tblPr>
    <w:tblGrid>
      <w:gridCol w:w="6192"/>
      <w:gridCol w:w="4032"/>
    </w:tblGrid>
    <w:tr>
      <w:tc>
        <w:tcPr>
          <w:tcW w:type="dxa" w:w="5112"/>
          <w:shd w:val="clear" w:color="auto" w:fill="512F8D"/>
          <w:tcBorders>
            <w:top w:val="nil"/>
            <w:left w:val="nil"/>
            <w:bottom w:val="single" w:sz="18" w:color="F8C018"/>
            <w:right w:val="nil"/>
          </w:tcBorders>
          <w:tcMar>
            <w:top w:w="50" w:type="dxa"/>
            <w:bottom w:w="50" w:type="dxa"/>
            <w:left w:w="140" w:type="dxa"/>
            <w:right w:w="140" w:type="dxa"/>
          </w:tcMar>
          <w:vAlign w:val="center"/>
        </w:tcPr>
        <w:p>
          <w:pPr>
            <w:spacing w:after="0"/>
          </w:pPr>
          <w:r>
            <w:drawing>
              <wp:inline xmlns:a="http://schemas.openxmlformats.org/drawingml/2006/main" xmlns:pic="http://schemas.openxmlformats.org/drawingml/2006/picture">
                <wp:extent cx="2377440" cy="566248"/>
                <wp:docPr id="1" name="Picture 1"/>
                <wp:cNvGraphicFramePr>
                  <a:graphicFrameLocks noChangeAspect="1"/>
                </wp:cNvGraphicFramePr>
                <a:graphic>
                  <a:graphicData uri="http://schemas.openxmlformats.org/drawingml/2006/picture">
                    <pic:pic>
                      <pic:nvPicPr>
                        <pic:cNvPr id="0" name="mtdh_logo.png"/>
                        <pic:cNvPicPr/>
                      </pic:nvPicPr>
                      <pic:blipFill>
                        <a:blip r:embed="rId1"/>
                        <a:stretch>
                          <a:fillRect/>
                        </a:stretch>
                      </pic:blipFill>
                      <pic:spPr>
                        <a:xfrm>
                          <a:off x="0" y="0"/>
                          <a:ext cx="2377440" cy="566248"/>
                        </a:xfrm>
                        <a:prstGeom prst="rect"/>
                      </pic:spPr>
                    </pic:pic>
                  </a:graphicData>
                </a:graphic>
              </wp:inline>
            </w:drawing>
          </w:r>
        </w:p>
      </w:tc>
      <w:tc>
        <w:tcPr>
          <w:tcW w:type="dxa" w:w="5112"/>
          <w:shd w:val="clear" w:color="auto" w:fill="512F8D"/>
          <w:tcBorders>
            <w:top w:val="nil"/>
            <w:left w:val="nil"/>
            <w:bottom w:val="single" w:sz="18" w:color="F8C018"/>
            <w:right w:val="nil"/>
          </w:tcBorders>
          <w:tcMar>
            <w:top w:w="50" w:type="dxa"/>
            <w:bottom w:w="50" w:type="dxa"/>
            <w:left w:w="140" w:type="dxa"/>
            <w:right w:w="140" w:type="dxa"/>
          </w:tcMar>
          <w:vAlign w:val="center"/>
        </w:tcPr>
        <w:p>
          <w:pPr>
            <w:spacing w:after="0"/>
            <w:jc w:val="right"/>
          </w:pPr>
          <w:r>
            <w:rPr>
              <w:rFonts w:ascii="Century Gothic" w:hAnsi="Century Gothic" w:eastAsia="Century Gothic"/>
              <w:b/>
              <w:i w:val="0"/>
              <w:color w:val="FFFFFF"/>
              <w:sz w:val="18"/>
            </w:rPr>
            <w:t>InfoReportes</w:t>
            <w:br/>
          </w:r>
          <w:r>
            <w:rPr>
              <w:rFonts w:ascii="Calibri" w:hAnsi="Calibri" w:eastAsia="Calibri"/>
              <w:b w:val="0"/>
              <w:i w:val="0"/>
              <w:color w:val="E4DBF3"/>
              <w:sz w:val="18"/>
            </w:rPr>
            <w:t>Septiembre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entury Gothic" w:hAnsi="Century Gothic"/>
      <w:b/>
      <w:bCs/>
      <w:color w:val="2B16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entury Gothic" w:hAnsi="Century Gothic"/>
      <w:b/>
      <w:bCs/>
      <w:color w:val="2B16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entury Gothic" w:hAnsi="Century Gothic"/>
      <w:b/>
      <w:bCs/>
      <w:color w:val="2B16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entury Gothic" w:hAnsi="Century Gothic"/>
      <w:color w:val="2B16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entury Gothic" w:hAnsi="Century Gothic"/>
      <w:i/>
      <w:iCs/>
      <w:color w:val="2B164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Boletín de protección social</dc:title>
  <dc:subject>Septiembre 2026. Estadísticas agregadas de protección social.</dc:subject>
  <dc:creator>Ministerio de Trabajo y Desarrollo Humano</dc:creator>
  <cp:keywords/>
  <dc:description>Selección de datos: a08650cd76fc</dc:description>
  <cp:lastModifiedBy/>
  <cp:revision>1</cp:revision>
  <dcterms:created xsi:type="dcterms:W3CDTF">2013-12-23T23:15:00Z</dcterms:created>
  <dcterms:modified xsi:type="dcterms:W3CDTF">2013-12-23T23:15:00Z</dcterms:modified>
  <cp:category>Estadística institucional</cp:category>
</cp:coreProperties>
</file>