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40" w:line="259" w:lineRule="auto"/>
      </w:pPr>
      <w:r>
        <w:rPr>
          <w:rFonts w:ascii="Times New Roman" w:hAnsi="Times New Roman" w:eastAsia="Times New Roman"/>
          <w:b/>
          <w:color w:val="000000"/>
          <w:sz w:val="52"/>
        </w:rPr>
        <w:t>Boletín estadístico institucional</w:t>
      </w:r>
    </w:p>
    <w:p>
      <w:pPr>
        <w:spacing w:after="100" w:line="259" w:lineRule="auto"/>
      </w:pPr>
      <w:r>
        <w:rPr>
          <w:rFonts w:ascii="Times New Roman" w:hAnsi="Times New Roman" w:eastAsia="Times New Roman"/>
          <w:b/>
          <w:color w:val="20202B"/>
          <w:sz w:val="24"/>
        </w:rPr>
        <w:t>Septiembre 2026</w:t>
      </w:r>
    </w:p>
    <w:p>
      <w:pPr>
        <w:spacing w:after="240" w:line="259" w:lineRule="auto"/>
      </w:pPr>
      <w:r>
        <w:rPr>
          <w:rFonts w:ascii="Times New Roman" w:hAnsi="Times New Roman" w:eastAsia="Times New Roman"/>
          <w:b w:val="0"/>
          <w:color w:val="666178"/>
          <w:sz w:val="20"/>
        </w:rPr>
        <w:t>Ámbito: Nacional - 24 provincias y zona en estudio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20202B"/>
          <w:sz w:val="22"/>
        </w:rPr>
        <w:t>Este boletín reúne la cobertura reportada y los montos acumulados de los programas seleccionados. Las cifras corresponden al ámbito territorial indicado y permiten revisar conjuntamente los recursos y la atención registrada.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312"/>
      </w:tblGrid>
      <w:tr>
        <w:trPr>
          <w:tblHeader/>
          <w:cantSplit/>
        </w:trPr>
        <w:tc>
          <w:tcPr>
            <w:tcW w:type="dxa" w:w="6912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3312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Resultado de la selección</w:t>
            </w:r>
          </w:p>
        </w:tc>
      </w:tr>
      <w:tr>
        <w:trPr>
          <w:cantSplit/>
        </w:trPr>
        <w:tc>
          <w:tcPr>
            <w:tcW w:type="dxa" w:w="6912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Beneficiarios reportados</w:t>
            </w:r>
          </w:p>
        </w:tc>
        <w:tc>
          <w:tcPr>
            <w:tcW w:type="dxa" w:w="3312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1.578.019</w:t>
            </w:r>
          </w:p>
        </w:tc>
      </w:tr>
      <w:tr>
        <w:trPr>
          <w:cantSplit/>
        </w:trPr>
        <w:tc>
          <w:tcPr>
            <w:tcW w:type="dxa" w:w="6912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Usuarios reportados</w:t>
            </w:r>
          </w:p>
        </w:tc>
        <w:tc>
          <w:tcPr>
            <w:tcW w:type="dxa" w:w="3312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456.239</w:t>
            </w:r>
          </w:p>
        </w:tc>
      </w:tr>
      <w:tr>
        <w:trPr>
          <w:cantSplit/>
        </w:trPr>
        <w:tc>
          <w:tcPr>
            <w:tcW w:type="dxa" w:w="6912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Unidades reportadas de protección integral</w:t>
            </w:r>
          </w:p>
        </w:tc>
        <w:tc>
          <w:tcPr>
            <w:tcW w:type="dxa" w:w="3312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11.158</w:t>
            </w:r>
          </w:p>
        </w:tc>
      </w:tr>
      <w:tr>
        <w:trPr>
          <w:cantSplit/>
        </w:trPr>
        <w:tc>
          <w:tcPr>
            <w:tcW w:type="dxa" w:w="6912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Acumulado fiscal 2026 (USD MM)</w:t>
            </w:r>
          </w:p>
        </w:tc>
        <w:tc>
          <w:tcPr>
            <w:tcW w:type="dxa" w:w="3312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1.180,00</w:t>
            </w:r>
          </w:p>
        </w:tc>
      </w:tr>
      <w:tr>
        <w:trPr>
          <w:cantSplit/>
        </w:trPr>
        <w:tc>
          <w:tcPr>
            <w:tcW w:type="dxa" w:w="6912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Acumulado de gobierno (USD MM)</w:t>
            </w:r>
          </w:p>
        </w:tc>
        <w:tc>
          <w:tcPr>
            <w:tcW w:type="dxa" w:w="3312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4.512,40</w:t>
            </w:r>
          </w:p>
        </w:tc>
      </w:tr>
      <w:tr>
        <w:trPr>
          <w:cantSplit/>
        </w:trPr>
        <w:tc>
          <w:tcPr>
            <w:tcW w:type="dxa" w:w="6912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Presupuesto ejecutado validado (USD MM)</w:t>
            </w:r>
          </w:p>
        </w:tc>
        <w:tc>
          <w:tcPr>
            <w:tcW w:type="dxa" w:w="3312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N/D</w:t>
            </w:r>
          </w:p>
        </w:tc>
      </w:tr>
    </w:tbl>
    <w:p>
      <w:pPr>
        <w:pStyle w:val="Heading2"/>
        <w:spacing w:after="120" w:line="259" w:lineRule="auto"/>
      </w:pPr>
      <w:r>
        <w:rPr>
          <w:rFonts w:ascii="Times New Roman" w:hAnsi="Times New Roman" w:eastAsia="Times New Roman"/>
          <w:b/>
          <w:color w:val="000000"/>
          <w:sz w:val="24"/>
        </w:rPr>
        <w:t>Lectura del corte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20202B"/>
          <w:sz w:val="22"/>
        </w:rPr>
        <w:t>Bono de Desarrollo Humano concentra el 39,2 % del total seleccionado, con 619.073 registros reportados.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20202B"/>
          <w:sz w:val="22"/>
        </w:rPr>
        <w:t>Desarrollo Infantil Integral concentra el 60,3 % del total seleccionado, con 274.975 registros reportados.</w:t>
      </w:r>
    </w:p>
    <w:p>
      <w:pPr>
        <w:pStyle w:val="Heading2"/>
        <w:spacing w:after="120" w:line="259" w:lineRule="auto"/>
      </w:pPr>
      <w:r>
        <w:rPr>
          <w:rFonts w:ascii="Times New Roman" w:hAnsi="Times New Roman" w:eastAsia="Times New Roman"/>
          <w:b/>
          <w:color w:val="000000"/>
          <w:sz w:val="24"/>
        </w:rPr>
        <w:t>Criterios de lectura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666178"/>
          <w:sz w:val="19"/>
        </w:rPr>
        <w:t>Beneficiarios y usuarios corresponden a conteos reportados en una base agregada. La fuente no permite comprobar personas únicas ni eliminar coincidencias entre programas.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666178"/>
          <w:sz w:val="19"/>
        </w:rPr>
        <w:t>El monto fiscal corresponde a la columna Presupuesto 2026 de la fuente. El acumulado de gobierno incluye el monto fiscal y los períodos anteriores. No deben sumarse entre sí.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666178"/>
          <w:sz w:val="19"/>
        </w:rPr>
        <w:t>Los montos no representan transferencias del mes. La fuente no certifica por sí sola el presupuesto ejecutado, que se presenta como N/D cuando no existe una validación adicional.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666178"/>
          <w:sz w:val="18"/>
        </w:rPr>
        <w:t>Fuente: Acumulado VIS-VIE.xlsx. Corte informado: Septiembre 2026.</w:t>
      </w:r>
    </w:p>
    <w:p>
      <w:r>
        <w:br w:type="page"/>
      </w:r>
    </w:p>
    <w:p>
      <w:pPr>
        <w:pStyle w:val="Heading1"/>
        <w:spacing w:after="160" w:line="259" w:lineRule="auto"/>
      </w:pPr>
      <w:r>
        <w:rPr>
          <w:rFonts w:ascii="Times New Roman" w:hAnsi="Times New Roman" w:eastAsia="Times New Roman"/>
          <w:b/>
          <w:color w:val="000000"/>
          <w:sz w:val="38"/>
        </w:rPr>
        <w:t>01 Bonos y pensiones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/>
          <w:color w:val="20202B"/>
          <w:sz w:val="24"/>
        </w:rPr>
        <w:t>1.578.019 beneficiarios reportados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20202B"/>
          <w:sz w:val="22"/>
        </w:rPr>
        <w:t>Bono de Desarrollo Humano concentra el 39,2 % del total seleccionado, con 619.073 registros reportados.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728"/>
        <w:gridCol w:w="2088"/>
        <w:gridCol w:w="2088"/>
      </w:tblGrid>
      <w:tr>
        <w:trPr>
          <w:tblHeader/>
          <w:cantSplit/>
        </w:trPr>
        <w:tc>
          <w:tcPr>
            <w:tcW w:type="dxa" w:w="4320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Programa</w:t>
            </w:r>
          </w:p>
        </w:tc>
        <w:tc>
          <w:tcPr>
            <w:tcW w:type="dxa" w:w="1728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Beneficiarios</w:t>
            </w:r>
          </w:p>
        </w:tc>
        <w:tc>
          <w:tcPr>
            <w:tcW w:type="dxa" w:w="2088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Fiscal 2026</w:t>
              <w:br/>
              <w:t>USD MM</w:t>
            </w:r>
          </w:p>
        </w:tc>
        <w:tc>
          <w:tcPr>
            <w:tcW w:type="dxa" w:w="2088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Gobierno</w:t>
              <w:br/>
              <w:t>USD MM</w:t>
            </w:r>
          </w:p>
        </w:tc>
      </w:tr>
      <w:tr>
        <w:trPr>
          <w:cantSplit/>
        </w:trPr>
        <w:tc>
          <w:tcPr>
            <w:tcW w:type="dxa" w:w="4320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Bono de Desarrollo Humano</w:t>
            </w:r>
          </w:p>
        </w:tc>
        <w:tc>
          <w:tcPr>
            <w:tcW w:type="dxa" w:w="172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619.073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270,24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1.072,51</w:t>
            </w:r>
          </w:p>
        </w:tc>
      </w:tr>
      <w:tr>
        <w:trPr>
          <w:cantSplit/>
        </w:trPr>
        <w:tc>
          <w:tcPr>
            <w:tcW w:type="dxa" w:w="4320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Bono de Desarrollo Humano Variable</w:t>
            </w:r>
          </w:p>
        </w:tc>
        <w:tc>
          <w:tcPr>
            <w:tcW w:type="dxa" w:w="172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367.289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226,00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805,61</w:t>
            </w:r>
          </w:p>
        </w:tc>
      </w:tr>
      <w:tr>
        <w:trPr>
          <w:cantSplit/>
        </w:trPr>
        <w:tc>
          <w:tcPr>
            <w:tcW w:type="dxa" w:w="4320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Pensión Mis Mejores Años</w:t>
            </w:r>
          </w:p>
        </w:tc>
        <w:tc>
          <w:tcPr>
            <w:tcW w:type="dxa" w:w="172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303.845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259,22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988,53</w:t>
            </w:r>
          </w:p>
        </w:tc>
      </w:tr>
      <w:tr>
        <w:trPr>
          <w:cantSplit/>
        </w:trPr>
        <w:tc>
          <w:tcPr>
            <w:tcW w:type="dxa" w:w="4320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Bono 1.000 Días</w:t>
            </w:r>
          </w:p>
        </w:tc>
        <w:tc>
          <w:tcPr>
            <w:tcW w:type="dxa" w:w="172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164.983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84,69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263,81</w:t>
            </w:r>
          </w:p>
        </w:tc>
      </w:tr>
      <w:tr>
        <w:trPr>
          <w:cantSplit/>
        </w:trPr>
        <w:tc>
          <w:tcPr>
            <w:tcW w:type="dxa" w:w="4320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Pensión Toda Una Vida</w:t>
            </w:r>
          </w:p>
        </w:tc>
        <w:tc>
          <w:tcPr>
            <w:tcW w:type="dxa" w:w="172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72.700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64,08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247,69</w:t>
            </w:r>
          </w:p>
        </w:tc>
      </w:tr>
      <w:tr>
        <w:trPr>
          <w:cantSplit/>
        </w:trPr>
        <w:tc>
          <w:tcPr>
            <w:tcW w:type="dxa" w:w="4320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Bono Joaquín Gallegos Lara</w:t>
            </w:r>
          </w:p>
        </w:tc>
        <w:tc>
          <w:tcPr>
            <w:tcW w:type="dxa" w:w="172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50.129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107,03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380,56</w:t>
            </w:r>
          </w:p>
        </w:tc>
      </w:tr>
      <w:tr>
        <w:trPr>
          <w:cantSplit/>
        </w:trPr>
        <w:tc>
          <w:tcPr>
            <w:tcW w:type="dxa" w:w="4320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Pensión para Adultos Mayores</w:t>
            </w:r>
          </w:p>
        </w:tc>
        <w:tc>
          <w:tcPr>
            <w:tcW w:type="dxa" w:w="172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0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0,00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0,21</w:t>
            </w:r>
          </w:p>
        </w:tc>
      </w:tr>
      <w:tr>
        <w:trPr>
          <w:cantSplit/>
        </w:trPr>
        <w:tc>
          <w:tcPr>
            <w:tcW w:type="dxa" w:w="4320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Pensión para Personas con Discapacidad</w:t>
            </w:r>
          </w:p>
        </w:tc>
        <w:tc>
          <w:tcPr>
            <w:tcW w:type="dxa" w:w="172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0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0,00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0,07</w:t>
            </w:r>
          </w:p>
        </w:tc>
      </w:tr>
      <w:tr>
        <w:trPr>
          <w:cantSplit/>
        </w:trPr>
        <w:tc>
          <w:tcPr>
            <w:tcW w:type="dxa" w:w="4320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Total seleccionado</w:t>
            </w:r>
          </w:p>
        </w:tc>
        <w:tc>
          <w:tcPr>
            <w:tcW w:type="dxa" w:w="1728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1.578.019</w:t>
            </w:r>
          </w:p>
        </w:tc>
        <w:tc>
          <w:tcPr>
            <w:tcW w:type="dxa" w:w="2088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1.011,25</w:t>
            </w:r>
          </w:p>
        </w:tc>
        <w:tc>
          <w:tcPr>
            <w:tcW w:type="dxa" w:w="2088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3.758,99</w:t>
            </w:r>
          </w:p>
        </w:tc>
      </w:tr>
    </w:tbl>
    <w:p>
      <w:pPr>
        <w:spacing w:after="100" w:line="259" w:lineRule="auto"/>
      </w:pPr>
      <w:r>
        <w:rPr>
          <w:rFonts w:ascii="Times New Roman" w:hAnsi="Times New Roman" w:eastAsia="Times New Roman"/>
          <w:b w:val="0"/>
          <w:color w:val="666178"/>
          <w:sz w:val="18"/>
        </w:rPr>
        <w:t>Montos acumulados en millones de USD. Los subtotales visibles pueden diferir por redondeo.</w:t>
      </w:r>
    </w:p>
    <w:p>
      <w:pPr>
        <w:pStyle w:val="Heading2"/>
        <w:spacing w:after="120" w:line="259" w:lineRule="auto"/>
      </w:pPr>
      <w:r>
        <w:rPr>
          <w:rFonts w:ascii="Times New Roman" w:hAnsi="Times New Roman" w:eastAsia="Times New Roman"/>
          <w:b/>
          <w:color w:val="000000"/>
          <w:sz w:val="24"/>
        </w:rPr>
        <w:t>Distribución territorial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6400800" cy="18357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35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666178"/>
          <w:sz w:val="18"/>
        </w:rPr>
        <w:t>Se muestran hasta seis ámbitos con mayor cobertura entre 25 seleccionados. Los 3 ámbitos con mayor cobertura concentran el 41,4 % del total seleccionado.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666178"/>
          <w:sz w:val="18"/>
        </w:rPr>
        <w:t>Los conteos agregados no permiten verificar personas únicas. Presupuesto ejecutado: N/D.</w:t>
      </w:r>
    </w:p>
    <w:p>
      <w:r>
        <w:br w:type="page"/>
      </w:r>
    </w:p>
    <w:p>
      <w:pPr>
        <w:pStyle w:val="Heading1"/>
        <w:spacing w:after="160" w:line="259" w:lineRule="auto"/>
      </w:pPr>
      <w:r>
        <w:rPr>
          <w:rFonts w:ascii="Times New Roman" w:hAnsi="Times New Roman" w:eastAsia="Times New Roman"/>
          <w:b/>
          <w:color w:val="000000"/>
          <w:sz w:val="38"/>
        </w:rPr>
        <w:t>02 Servicios de protección integral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/>
          <w:color w:val="20202B"/>
          <w:sz w:val="24"/>
        </w:rPr>
        <w:t>456.239 usuarios reportados y 11.158 unidades reportadas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20202B"/>
          <w:sz w:val="22"/>
        </w:rPr>
        <w:t>Desarrollo Infantil Integral concentra el 60,3 % del total seleccionado, con 274.975 registros reportados.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512"/>
        <w:gridCol w:w="1152"/>
        <w:gridCol w:w="2088"/>
        <w:gridCol w:w="2088"/>
      </w:tblGrid>
      <w:tr>
        <w:trPr>
          <w:tblHeader/>
          <w:cantSplit/>
        </w:trPr>
        <w:tc>
          <w:tcPr>
            <w:tcW w:type="dxa" w:w="3384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1512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Usuarios</w:t>
            </w:r>
          </w:p>
        </w:tc>
        <w:tc>
          <w:tcPr>
            <w:tcW w:type="dxa" w:w="1152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Unidades</w:t>
            </w:r>
          </w:p>
        </w:tc>
        <w:tc>
          <w:tcPr>
            <w:tcW w:type="dxa" w:w="2088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Fiscal 2026</w:t>
              <w:br/>
              <w:t>USD MM</w:t>
            </w:r>
          </w:p>
        </w:tc>
        <w:tc>
          <w:tcPr>
            <w:tcW w:type="dxa" w:w="2088"/>
            <w:shd w:fill="512F8D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Gobierno</w:t>
              <w:br/>
              <w:t>USD MM</w:t>
            </w:r>
          </w:p>
        </w:tc>
      </w:tr>
      <w:tr>
        <w:trPr>
          <w:cantSplit/>
        </w:trPr>
        <w:tc>
          <w:tcPr>
            <w:tcW w:type="dxa" w:w="3384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Desarrollo Infantil Integral</w:t>
            </w:r>
          </w:p>
        </w:tc>
        <w:tc>
          <w:tcPr>
            <w:tcW w:type="dxa" w:w="1512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274.975</w:t>
            </w:r>
          </w:p>
        </w:tc>
        <w:tc>
          <w:tcPr>
            <w:tcW w:type="dxa" w:w="1152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6.759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106,08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478,82</w:t>
            </w:r>
          </w:p>
        </w:tc>
      </w:tr>
      <w:tr>
        <w:trPr>
          <w:cantSplit/>
        </w:trPr>
        <w:tc>
          <w:tcPr>
            <w:tcW w:type="dxa" w:w="3384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Personas adultas mayores</w:t>
            </w:r>
          </w:p>
        </w:tc>
        <w:tc>
          <w:tcPr>
            <w:tcW w:type="dxa" w:w="1512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114.697</w:t>
            </w:r>
          </w:p>
        </w:tc>
        <w:tc>
          <w:tcPr>
            <w:tcW w:type="dxa" w:w="1152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2.792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34,61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145,81</w:t>
            </w:r>
          </w:p>
        </w:tc>
      </w:tr>
      <w:tr>
        <w:trPr>
          <w:cantSplit/>
        </w:trPr>
        <w:tc>
          <w:tcPr>
            <w:tcW w:type="dxa" w:w="3384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Personas con discapacidad</w:t>
            </w:r>
          </w:p>
        </w:tc>
        <w:tc>
          <w:tcPr>
            <w:tcW w:type="dxa" w:w="1512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37.039</w:t>
            </w:r>
          </w:p>
        </w:tc>
        <w:tc>
          <w:tcPr>
            <w:tcW w:type="dxa" w:w="1152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1.229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12,05</w:t>
            </w:r>
          </w:p>
        </w:tc>
        <w:tc>
          <w:tcPr>
            <w:tcW w:type="dxa" w:w="2088"/>
            <w:shd w:fill="FFFFFF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50,92</w:t>
            </w:r>
          </w:p>
        </w:tc>
      </w:tr>
      <w:tr>
        <w:trPr>
          <w:cantSplit/>
        </w:trPr>
        <w:tc>
          <w:tcPr>
            <w:tcW w:type="dxa" w:w="3384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Protección Especial</w:t>
            </w:r>
          </w:p>
        </w:tc>
        <w:tc>
          <w:tcPr>
            <w:tcW w:type="dxa" w:w="1512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29.528</w:t>
            </w:r>
          </w:p>
        </w:tc>
        <w:tc>
          <w:tcPr>
            <w:tcW w:type="dxa" w:w="1152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378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16,01</w:t>
            </w:r>
          </w:p>
        </w:tc>
        <w:tc>
          <w:tcPr>
            <w:tcW w:type="dxa" w:w="2088"/>
            <w:shd w:fill="F7F5F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20202B"/>
                <w:sz w:val="19"/>
              </w:rPr>
              <w:t>77,85</w:t>
            </w:r>
          </w:p>
        </w:tc>
      </w:tr>
      <w:tr>
        <w:trPr>
          <w:cantSplit/>
        </w:trPr>
        <w:tc>
          <w:tcPr>
            <w:tcW w:type="dxa" w:w="3384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Total seleccionado</w:t>
            </w:r>
          </w:p>
        </w:tc>
        <w:tc>
          <w:tcPr>
            <w:tcW w:type="dxa" w:w="1512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456.239</w:t>
            </w:r>
          </w:p>
        </w:tc>
        <w:tc>
          <w:tcPr>
            <w:tcW w:type="dxa" w:w="1152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11.158</w:t>
            </w:r>
          </w:p>
        </w:tc>
        <w:tc>
          <w:tcPr>
            <w:tcW w:type="dxa" w:w="2088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168,75</w:t>
            </w:r>
          </w:p>
        </w:tc>
        <w:tc>
          <w:tcPr>
            <w:tcW w:type="dxa" w:w="2088"/>
            <w:shd w:fill="EBE5F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color w:val="20202B"/>
                <w:sz w:val="19"/>
              </w:rPr>
              <w:t>753,41</w:t>
            </w:r>
          </w:p>
        </w:tc>
      </w:tr>
    </w:tbl>
    <w:p>
      <w:pPr>
        <w:spacing w:after="100" w:line="259" w:lineRule="auto"/>
      </w:pPr>
      <w:r>
        <w:rPr>
          <w:rFonts w:ascii="Times New Roman" w:hAnsi="Times New Roman" w:eastAsia="Times New Roman"/>
          <w:b w:val="0"/>
          <w:color w:val="666178"/>
          <w:sz w:val="18"/>
        </w:rPr>
        <w:t>Montos acumulados en millones de USD. Los subtotales visibles pueden diferir por redondeo.</w:t>
      </w:r>
    </w:p>
    <w:p>
      <w:pPr>
        <w:pStyle w:val="Heading2"/>
        <w:spacing w:after="120" w:line="259" w:lineRule="auto"/>
      </w:pPr>
      <w:r>
        <w:rPr>
          <w:rFonts w:ascii="Times New Roman" w:hAnsi="Times New Roman" w:eastAsia="Times New Roman"/>
          <w:b/>
          <w:color w:val="000000"/>
          <w:sz w:val="24"/>
        </w:rPr>
        <w:t>Distribución territorial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6400800" cy="21202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20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666178"/>
          <w:sz w:val="18"/>
        </w:rPr>
        <w:t>Se muestran hasta seis ámbitos con mayor cobertura entre 24 seleccionados. Los 3 ámbitos con mayor cobertura concentran el 39,1 % del total seleccionado.</w:t>
      </w:r>
    </w:p>
    <w:p>
      <w:pPr>
        <w:spacing w:after="120" w:line="259" w:lineRule="auto"/>
      </w:pPr>
      <w:r>
        <w:rPr>
          <w:rFonts w:ascii="Times New Roman" w:hAnsi="Times New Roman" w:eastAsia="Times New Roman"/>
          <w:b w:val="0"/>
          <w:color w:val="666178"/>
          <w:sz w:val="18"/>
        </w:rPr>
        <w:t>Los conteos agregados no permiten verificar personas únicas. Presupuesto ejecutado: N/D.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2059" w:right="1008" w:bottom="864" w:left="1008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20" w:val="right"/>
      </w:tabs>
      <w:spacing w:after="0"/>
    </w:pPr>
    <w:r>
      <w:rPr>
        <w:rFonts w:ascii="Times New Roman" w:hAnsi="Times New Roman" w:eastAsia="Times New Roman"/>
        <w:b w:val="0"/>
        <w:color w:val="666178"/>
        <w:sz w:val="16"/>
      </w:rPr>
      <w:t>Ministerio de Trabajo y Desarrollo Humano</w:t>
    </w:r>
    <w:r>
      <w:tab/>
    </w:r>
    <w:r>
      <w:rPr>
        <w:rFonts w:ascii="Times New Roman" w:hAnsi="Times New Roman" w:eastAsia="Times New Roman"/>
        <w:b w:val="0"/>
        <w:color w:val="666178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904"/>
      <w:gridCol w:w="4320"/>
    </w:tblGrid>
    <w:tr>
      <w:tc>
        <w:tcPr>
          <w:tcW w:type="dxa" w:w="5112"/>
          <w:shd w:fill="512F8D"/>
          <w:tcMar>
            <w:top w:w="25" w:type="dxa"/>
            <w:bottom w:w="25" w:type="dxa"/>
            <w:left w:w="100" w:type="dxa"/>
            <w:right w:w="100" w:type="dxa"/>
          </w:tcMar>
          <w:vAlign w:val="center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3291840" cy="78403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tdh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91840" cy="78403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12"/>
          <w:shd w:fill="512F8D"/>
          <w:tcMar>
            <w:top w:w="25" w:type="dxa"/>
            <w:bottom w:w="25" w:type="dxa"/>
            <w:left w:w="100" w:type="dxa"/>
            <w:right w:w="100" w:type="dxa"/>
          </w:tcMar>
          <w:vAlign w:val="center"/>
        </w:tcPr>
        <w:p>
          <w:pPr>
            <w:spacing w:after="0"/>
            <w:jc w:val="right"/>
          </w:pPr>
          <w:r>
            <w:rPr>
              <w:rFonts w:ascii="Times New Roman" w:hAnsi="Times New Roman" w:eastAsia="Times New Roman"/>
              <w:b w:val="0"/>
              <w:color w:val="FFFFFF"/>
              <w:sz w:val="20"/>
            </w:rPr>
            <w:t>INFORMACIÓN ESTADÍSTICA</w:t>
            <w:br/>
            <w:t>Septiembre 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18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estadístico institucional</dc:title>
  <dc:subject>Septiembre 2026. Estadísticas agregadas de protección social.</dc:subject>
  <dc:creator>Ministerio de Trabajo y Desarrollo Humano</dc:creator>
  <cp:keywords/>
  <dc:description>Selección de datos: a08650cd76fc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