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  <w:jc w:val="center"/>
      </w:pPr>
      <w:r>
        <w:t xml:space="preserve">Workshop 2: Peer Evaluation of a High-Level Specification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Reviewer: Juan Esteban Ruiz — A00399562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Spec reviewed: Spec-1 — University AI Compute Management Platform, by Juan Andrés Cano Ramírez (A00399560)</w:t>
      </w:r>
    </w:p>
    <w:p>
      <w:pPr>
        <w:pStyle w:val="Heading2"/>
        <w:spacing w:after="120" w:before="260"/>
      </w:pPr>
      <w:r>
        <w:t xml:space="preserve">Completed Verdict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1008"/>
        <w:gridCol w:w="7459"/>
      </w:tblGrid>
      <w:tr>
        <w:tc>
          <w:tcPr>
            <w:tcW w:type="dxa" w:w="1613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1008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Rating</w:t>
            </w:r>
          </w:p>
        </w:tc>
        <w:tc>
          <w:tcPr>
            <w:tcW w:type="dxa" w:w="7459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Evidence (quote)</w:t>
            </w:r>
          </w:p>
        </w:tc>
      </w:tr>
      <w:tr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Clarity</w:t>
            </w:r>
          </w:p>
        </w:tc>
        <w:tc>
          <w:tcPr>
            <w:tcW w:type="dxa" w:w="10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745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"if queued, a position and an estimated start time" (Contract, Submit workload) — how the estimate is computed, and what accuracy is expected, is not defined.</w:t>
            </w:r>
          </w:p>
        </w:tc>
      </w:tr>
      <w:tr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Scope control</w:t>
            </w:r>
          </w:p>
        </w:tc>
        <w:tc>
          <w:tcPr>
            <w:tcW w:type="dxa" w:w="10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Strong</w:t>
            </w:r>
          </w:p>
        </w:tc>
        <w:tc>
          <w:tcPr>
            <w:tcW w:type="dxa" w:w="745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"no internal algorithm for computing hardware equivalence or scheduling heuristics (deliberately deferred, see Contract)" (Non-Goals).</w:t>
            </w:r>
          </w:p>
        </w:tc>
      </w:tr>
      <w:tr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Verifiability</w:t>
            </w:r>
          </w:p>
        </w:tc>
        <w:tc>
          <w:tcPr>
            <w:tcW w:type="dxa" w:w="10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Strong</w:t>
            </w:r>
          </w:p>
        </w:tc>
        <w:tc>
          <w:tcPr>
            <w:tcW w:type="dxa" w:w="745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"a workload needing merely-busy (not absent) hardware queues instead of rejecting, in 100% of cases" (Success Signal).</w:t>
            </w:r>
          </w:p>
        </w:tc>
      </w:tr>
      <w:tr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Atomicity</w:t>
            </w:r>
          </w:p>
        </w:tc>
        <w:tc>
          <w:tcPr>
            <w:tcW w:type="dxa" w:w="10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Weak</w:t>
            </w:r>
          </w:p>
        </w:tc>
        <w:tc>
          <w:tcPr>
            <w:tcW w:type="dxa" w:w="745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"Create reservation" bundles admission logic (grant / substitute / escalate) with window-start preemption logic (termination signal, grace period, forced termination) in one action.</w:t>
            </w:r>
          </w:p>
        </w:tc>
      </w:tr>
      <w:tr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Consistency</w:t>
            </w:r>
          </w:p>
        </w:tc>
        <w:tc>
          <w:tcPr>
            <w:tcW w:type="dxa" w:w="10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Strong</w:t>
            </w:r>
          </w:p>
        </w:tc>
        <w:tc>
          <w:tcPr>
            <w:tcW w:type="dxa" w:w="745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Justifications: "Checked, after the final pass, that the token-quota timing rule now appears identically in both the Contract and this justifications document."</w:t>
            </w:r>
          </w:p>
        </w:tc>
      </w:tr>
      <w:tr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Impl. independence</w:t>
            </w:r>
          </w:p>
        </w:tc>
        <w:tc>
          <w:tcPr>
            <w:tcW w:type="dxa" w:w="10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Strong</w:t>
            </w:r>
          </w:p>
        </w:tc>
        <w:tc>
          <w:tcPr>
            <w:tcW w:type="dxa" w:w="745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"any transport shown (REST, gRPC, a queue) is illustrative only, not a stack commitment" (Contract framing note).</w:t>
            </w:r>
          </w:p>
        </w:tc>
      </w:tr>
      <w:tr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Traceability</w:t>
            </w:r>
          </w:p>
        </w:tc>
        <w:tc>
          <w:tcPr>
            <w:tcW w:type="dxa" w:w="10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Weak</w:t>
            </w:r>
          </w:p>
        </w:tc>
        <w:tc>
          <w:tcPr>
            <w:tcW w:type="dxa" w:w="745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7 Capabilities are an unlabeled bullet list; they do not map 1:1 to the Contract’s 4 named action blocks (Submit workload, Create reservation, Check node status, Check usage).</w:t>
            </w:r>
          </w:p>
        </w:tc>
      </w:tr>
      <w:tr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Decomposition readiness</w:t>
            </w:r>
          </w:p>
        </w:tc>
        <w:tc>
          <w:tcPr>
            <w:tcW w:type="dxa" w:w="10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745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"Submit workload" decomposes cleanly into one story; "Create reservation" would need to be split first (same root cause as the Atomicity finding).</w:t>
            </w:r>
          </w:p>
        </w:tc>
      </w:tr>
    </w:tbl>
    <w:p>
      <w:pPr>
        <w:pStyle w:val="Heading2"/>
        <w:spacing w:after="120" w:before="260"/>
      </w:pPr>
      <w:r>
        <w:t xml:space="preserve">Strongest Finding #1 — Verifiability</w:t>
      </w:r>
    </w:p>
    <w:p>
      <w:pPr>
        <w:spacing w:after="60"/>
      </w:pPr>
      <w:r>
        <w:rPr>
          <w:b/>
          <w:bCs/>
          <w:sz w:val="22"/>
          <w:szCs w:val="22"/>
        </w:rPr>
        <w:t xml:space="preserve">Quote: </w:t>
      </w:r>
      <w:r>
        <w:rPr>
          <w:i/>
          <w:iCs/>
          <w:sz w:val="22"/>
          <w:szCs w:val="22"/>
        </w:rPr>
        <w:t xml:space="preserve">"a workload needing merely-busy (not absent) hardware queues instead of rejecting, in 100% of cases" (Success Signal)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Why: </w:t>
      </w:r>
      <w:r>
        <w:rPr>
          <w:sz w:val="22"/>
          <w:szCs w:val="22"/>
        </w:rPr>
        <w:t xml:space="preserve">This commits to a full-coverage, quantified guarantee rather than a qualitative statement ("usually," "in most cases"). It turns the criterion into a binary pass/fail test, which is exactly the kind of measurability the assignment rubric asks for, and stronger than the equivalent statements found in the reference spec reviewed in Workshop 1.</w:t>
      </w:r>
    </w:p>
    <w:p>
      <w:pPr>
        <w:pStyle w:val="Heading2"/>
        <w:spacing w:after="120" w:before="260"/>
      </w:pPr>
      <w:r>
        <w:t xml:space="preserve">Strongest Finding #2 — Implementation Independence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Quote: </w:t>
      </w:r>
      <w:r>
        <w:rPr>
          <w:i/>
          <w:iCs/>
          <w:sz w:val="22"/>
          <w:szCs w:val="22"/>
        </w:rPr>
        <w:t xml:space="preserve">"the fields, output shapes, and named error conditions above are binding; any transport shown (REST, gRPC, a queue) is illustrative only, not a stack commitment." (Contract framing note)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Why: </w:t>
      </w:r>
      <w:r>
        <w:rPr>
          <w:sz w:val="22"/>
          <w:szCs w:val="22"/>
        </w:rPr>
        <w:t xml:space="preserve">This explicitly separates what is binding (fields, output shapes, error taxonomy) from what is illustrative (transport choice), preventing exactly the kind of technology leakage into a binding contract that we found in the Smart Solar Flow spec during Workshop 1 (e.g., a database name inside a success criterion). Naming the distinction out loud, instead of leaving it implicit, is what makes this strong.</w:t>
      </w:r>
    </w:p>
    <w:p>
      <w:pPr>
        <w:pStyle w:val="Heading2"/>
        <w:spacing w:after="120" w:before="260"/>
      </w:pPr>
      <w:r>
        <w:t xml:space="preserve">Weakest Finding #1 — Atomicity</w:t>
      </w:r>
    </w:p>
    <w:p>
      <w:pPr>
        <w:spacing w:after="60"/>
      </w:pPr>
      <w:r>
        <w:rPr>
          <w:b/>
          <w:bCs/>
          <w:sz w:val="22"/>
          <w:szCs w:val="22"/>
        </w:rPr>
        <w:t xml:space="preserve">Quote: </w:t>
      </w:r>
      <w:r>
        <w:rPr>
          <w:i/>
          <w:iCs/>
          <w:sz w:val="22"/>
          <w:szCs w:val="22"/>
        </w:rPr>
        <w:t xml:space="preserve">"When a granted window begins, unreserved jobs on that hardware receive a termination signal and a fixed grace period to checkpoint; a job still running when that period ends is forcibly terminated..." (Contract, under "Create reservation")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Why: </w:t>
      </w:r>
      <w:r>
        <w:rPr>
          <w:sz w:val="22"/>
          <w:szCs w:val="22"/>
        </w:rPr>
        <w:t xml:space="preserve">This preemption behavior has a different trigger (the reservation window starting) and a different failure mode (a job that fails to checkpoint in time) than the admission behavior described earlier in the same action (granting, offering a substitute, or escalating a new reservation request). Bundling both under one Contract action makes it easy to lose track of preemption as an independently testable behavior once this is broken into implementation stories.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Suggested rewrite: </w:t>
      </w:r>
      <w:r>
        <w:rPr>
          <w:i/>
          <w:iCs/>
          <w:sz w:val="22"/>
          <w:szCs w:val="22"/>
        </w:rPr>
        <w:t xml:space="preserve">Split into two Contract actions: "Create reservation" (admission: grant / substitute / escalate to admin review) and "Enforce reservation window" (preemption: termination signal, grace period, forced termination, preempted status) — each with its own success criterion.</w:t>
      </w:r>
    </w:p>
    <w:p>
      <w:pPr>
        <w:pStyle w:val="Heading2"/>
        <w:spacing w:after="120" w:before="260"/>
      </w:pPr>
      <w:r>
        <w:t xml:space="preserve">Weakest Finding #2 — Traceability</w:t>
      </w:r>
    </w:p>
    <w:p>
      <w:pPr>
        <w:spacing w:after="60"/>
      </w:pPr>
      <w:r>
        <w:rPr>
          <w:b/>
          <w:bCs/>
          <w:sz w:val="22"/>
          <w:szCs w:val="22"/>
        </w:rPr>
        <w:t xml:space="preserve">Quote: </w:t>
      </w:r>
      <w:r>
        <w:rPr>
          <w:i/>
          <w:iCs/>
          <w:sz w:val="22"/>
          <w:szCs w:val="22"/>
        </w:rPr>
        <w:t xml:space="preserve">The Capabilities section lists seven unlabeled bullets (e.g., "Submitting a workload returns running, queued with position, pending review, or a specific named rejection reason."), with no identifier comparable to the Contract’s four named action blocks (Submit workload, Create reservation, Check node status, Check usage).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Why: </w:t>
      </w:r>
      <w:r>
        <w:rPr>
          <w:sz w:val="22"/>
          <w:szCs w:val="22"/>
        </w:rPr>
        <w:t xml:space="preserve">Without stable identifiers, a later document (architecture spine, test design, an audit) has no formal handle to reference a specific capability by — "this test covers Capability X" becomes an informal, prose-based pointer that gets harder to keep accurate as the document set grows across Spec-2 and the architecture phase.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Suggested rewrite: </w:t>
      </w:r>
      <w:r>
        <w:rPr>
          <w:i/>
          <w:iCs/>
          <w:sz w:val="22"/>
          <w:szCs w:val="22"/>
        </w:rPr>
        <w:t xml:space="preserve">Number each capability (CAP-1 through CAP-7) and reference those IDs from the corresponding Contract action, and from Non-Goals or Constraints where relevant.</w:t>
      </w:r>
    </w:p>
    <w:p>
      <w:pPr>
        <w:pStyle w:val="Heading2"/>
        <w:spacing w:after="120" w:before="260"/>
      </w:pPr>
      <w:r>
        <w:t xml:space="preserve">Open Question for the Partner Meeting</w:t>
      </w:r>
    </w:p>
    <w:p>
      <w:pPr>
        <w:spacing w:after="120"/>
        <w:jc w:val="both"/>
      </w:pPr>
      <w:r>
        <w:rPr>
          <w:sz w:val="22"/>
          <w:szCs w:val="22"/>
        </w:rPr>
        <w:t xml:space="preserve">The "equivalent-or-better" hardware comparison used to offer a substitute for a conflicting reservation is explicitly left undefined — stated as a deliberate scope deferral in both the Contract and the Non-Goals, not as an oversight. Question for discussion: does this comparison need a testable definition before Spec-2, given that the reservation-conflict Capability depends on it, or is it safe to leave deferred until the architecture phase?</w:t>
      </w:r>
    </w:p>
    <w:p>
      <w:pPr>
        <w:pStyle w:val="Heading2"/>
        <w:spacing w:after="120" w:before="260"/>
      </w:pPr>
      <w:r>
        <w:t xml:space="preserve">Notes for the Pair Meeting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Ask if splitting "Create reservation" into two capabilities (admission vs. window-enforcement) changes how he's already planning the architecture, before it locks into Spec-2.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Check if it's worth adding CAP IDs now (quick fix) or just leaving it for Spec-2.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Share what he said about my spec, and note here if anything in this review changed after talking.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2026-08-23T23:33:08.675Z</dcterms:created>
  <dcterms:modified xsi:type="dcterms:W3CDTF">2026-08-23T23:33:08.675Z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