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t xml:space="preserve">Juan Pablo Aviles-Esparza</w:t>
      </w:r>
      <w:r>
        <w:rPr>
          <w:vertAlign w:val="superscript"/>
        </w:rPr>
        <w:t xml:space="preserve">1,*</w:t>
      </w:r>
      <w:r>
        <w:t xml:space="preserve">, Italo Javier Tenempaguay-Granizo</w:t>
      </w:r>
      <w:r>
        <w:rPr>
          <w:vertAlign w:val="superscript"/>
        </w:rPr>
        <w:t xml:space="preserve">1</w:t>
      </w:r>
      <w:r>
        <w:t xml:space="preserve">, Isaac David Torres-Paredes</w:t>
      </w:r>
      <w:r>
        <w:rPr>
          <w:vertAlign w:val="superscript"/>
        </w:rPr>
        <w:t xml:space="preserve">1</w:t>
      </w:r>
    </w:p>
    <w:p>
      <w:pPr>
        <w:pStyle w:val="BodyText"/>
      </w:pPr>
      <w:r>
        <w:rPr>
          <w:vertAlign w:val="superscript"/>
        </w:rPr>
        <w:t xml:space="preserve">1</w:t>
      </w:r>
      <w:r>
        <w:t xml:space="preserve"> </w:t>
      </w:r>
      <w:r>
        <w:t xml:space="preserve">Software Engineering, Faculty of Informatics and Electronics, Escuela Superior Politécnica de Chimborazo (ESPOCH), Riobamba 060155, Ecuador</w:t>
      </w:r>
    </w:p>
    <w:p>
      <w:pPr>
        <w:pStyle w:val="BodyText"/>
      </w:pPr>
      <w:r>
        <w:rPr>
          <w:vertAlign w:val="superscript"/>
        </w:rPr>
        <w:t xml:space="preserve">*</w:t>
      </w:r>
      <w:r>
        <w:t xml:space="preserve"> </w:t>
      </w:r>
      <w:r>
        <w:t xml:space="preserve">Corresponding author: juan.aviles@espoch.edu.ec</w:t>
      </w:r>
    </w:p>
    <w:p>
      <w:pPr>
        <w:pStyle w:val="BodyText"/>
      </w:pPr>
      <w:r>
        <w:t xml:space="preserve">ORCID: 0009-0007-0058-8069 (J.P.A.-E.), 0009-0001-5753-4279 (I.J.T.-G.), 0009-0001-7057-9316 (I.D.T.-P.)</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93.4%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(255 sites, countries with</w:t>
      </w:r>
      <w:r>
        <w:t xml:space="preserve"> </w:t>
      </w:r>
      <m:oMath>
        <m:r>
          <m:rPr>
            <m:sty m:val="p"/>
          </m:rPr>
          <m:t>≥</m:t>
        </m:r>
      </m:oMath>
      <w:r>
        <w:t xml:space="preserve">5 sites) is not significant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most commonly detected accessibility issue, a position it has held in every edition since 2019. Such global scans report an aggregate world figure, though, and are not designed to, and do not, break results out for Latin American higher education specifically. Latin American higher education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Nedeljković &amp; Pušnik (2022) measured how quickly five-letter words displayed on screen are recognised and found that recognition time depends on the typeface, the letter case, and the position of the word on the screen; legibility therefore depends on several presentation variables at once, which is why we analyse contrast together with font size and weight rather than in isolation. Punsongserm &amp; Suvakunta (2025) conducted a technical review of typeface choice, type size, and colour contrast in government mobile applications, and, closer to our own setting, identified legibility and colour-contrast problems in public-sector mobile applications and argued that existing government standards do not address them in sufficient detail; we examine the contrast dimension of that problem, in a different modality and region, for university websites. In a related display context, Jović et al. (2026) review the literature on text legibility in augmented reality and identify colour and contrast among the ten parameters that govern it, together with background influence and environmental illumination. Ofosu-Asare (2024) evaluated and redesigned an online learning platform with 150 participants using heuristic evaluation, guideline reviews, and cognitive walkthroughs; expert- and user-based evaluations of this kind are informative but do not scale to a whole region, which is the gap this paper addresses for the chromatic dimension with an automated survey. Within this journal, colour and ink have mostly been studied on the print side, for example the drying systems used for printing inks (Saad et al., 2021); the screen-side counterpart, whether the sRGB colours chosen for web interfaces are distinguishable enough to be read, is the problem this paper addresses.</w:t>
      </w:r>
    </w:p>
    <w:p>
      <w:pPr>
        <w:pStyle w:val="BodyText"/>
      </w:pPr>
      <w:r>
        <w:t xml:space="preserve">The conceptual foundation of our study rests on the universal web accessibility argument advanced by Henry, Abou-Zahra &amp; Brewer (2014), who argue that work on accessibility benefits all users, particularly those facing situational limitations such as device or environmental constraints, and not only people with disabilities; insufficient contrast, which also hinders reading on poor screens or in bright light, is a case in point, so WCAG contrast compliance is better seen as a baseline quality requirement than as a minority accommodation. Rello &amp; Baeza-Yates (2013) showed with eye-tracking that font choice alone measurably changes reading performance for readers with dyslexia, a population whose needs are not captured by automated WCAG pass/fail audits; this supports looking beyond a binary threshold test, which is why we also analyse failures in continuous CIELAB space.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Acosta &amp; Lujan-Mora, 2018) evaluated 348 Latin American university websites against WCAG 2.0, finding frequent violations (most often missing alternative text for images); it is the closest benchmark against which our 93.4% per-site failure rate and our 21.6% pair-level failure rate should be positioned. A subsequent heuristic method for users with low vision (Acosta-Vargas, Salvador-Ullauri &amp; Lujan-Mora, 2019), applied to 40 websites, 30 of them Latin American universities, argued that automatic tools alone do not give an adequate picture of accessibility barriers; this is one reason we do not stop at the WCAG pass/fail ratio and also characterise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Their 2020 dataset (Acosta-Vargas, González &amp; Luján-Mora,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study of 50 popular Android applications available in Ecuador (Acosta-Vargas et al., 2021) found text contrast among the recurring barriers (9.2% of detected problems), placing our university-website result within a broader pattern of accessibility problems in Latin American digital products.</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Bolivia and Venezuela are absent: the source dataset lists them under their official names (</w:t>
      </w:r>
      <w:r>
        <w:t xml:space="preserve">“Bolivia, Plurinational State of”</w:t>
      </w:r>
      <w:r>
        <w:t xml:space="preserve">;</w:t>
      </w:r>
      <w:r>
        <w:t xml:space="preserve"> </w:t>
      </w:r>
      <w:r>
        <w:t xml:space="preserve">“Venezuela, Bolivarian Republic of”</w:t>
      </w:r>
      <w:r>
        <w:t xml:space="preserve">), which our country-name filter did not match, so they were excluded at the sampling stage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2007)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(255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93.4% of the 259 successfully analysed homepages contain at least one critical (failing) pair, and the median site has 20.1%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255 of 259 sites).</w:t>
      </w:r>
    </w:p>
    <w:tbl>
      <w:tblPr>
        <w:tblStyle w:val="Table"/>
        <w:tblW w:type="auto" w:w="0"/>
        <w:jc w:val="center"/>
        <w:tblLook w:firstRow="1" w:lastRow="0" w:firstColumn="0" w:lastColumn="0" w:noHBand="0" w:noVBand="0" w:val="0020"/>
        <w:tblCaption w:val="Table 2. Descriptive statistics by country (16 countries with \geq5 sites; 255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25</w:t>
            </w:r>
          </w:p>
        </w:tc>
        <w:tc>
          <w:tcPr/>
          <w:p>
            <w:pPr>
              <w:pStyle w:val="Compact"/>
              <w:jc w:val="center"/>
            </w:pPr>
            <w:r>
              <w:rPr>
                <w:sz w:val="18"/>
              </w:rPr>
              <w:t xml:space="preserve">12.5</w:t>
            </w:r>
          </w:p>
        </w:tc>
        <w:tc>
          <w:tcPr/>
          <w:p>
            <w:pPr>
              <w:pStyle w:val="Compact"/>
              <w:jc w:val="center"/>
            </w:pPr>
            <w:r>
              <w:rPr>
                <w:sz w:val="18"/>
              </w:rPr>
              <w:t xml:space="preserve">92.0</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255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22.92</m:t>
        </m:r>
      </m:oMath>
      <w:r>
        <w:t xml:space="preserve">,</w:t>
      </w:r>
      <w:r>
        <w:t xml:space="preserve"> </w:t>
      </w:r>
      <m:oMath>
        <m:r>
          <m:t>d</m:t>
        </m:r>
        <m:r>
          <m:t>f</m:t>
        </m:r>
        <m:r>
          <m:rPr>
            <m:sty m:val="p"/>
          </m:rPr>
          <m:t>=</m:t>
        </m:r>
        <m:r>
          <m:t>15</m:t>
        </m:r>
      </m:oMath>
      <w:r>
        <w:t xml:space="preserve">,</w:t>
      </w:r>
      <w:r>
        <w:t xml:space="preserve"> </w:t>
      </w:r>
      <m:oMath>
        <m:r>
          <m:t>p</m:t>
        </m:r>
        <m:r>
          <m:rPr>
            <m:sty m:val="p"/>
          </m:rPr>
          <m:t>=</m:t>
        </m:r>
        <m:r>
          <m:t>0.086</m:t>
        </m:r>
      </m:oMath>
      <w:r>
        <w:t xml:space="preserve">) or on continuous %AA-failure (Kruskal-Wallis</w:t>
      </w:r>
      <w:r>
        <w:t xml:space="preserve"> </w:t>
      </w:r>
      <m:oMath>
        <m:r>
          <m:t>H</m:t>
        </m:r>
        <m:r>
          <m:rPr>
            <m:sty m:val="p"/>
          </m:rPr>
          <m:t>=</m:t>
        </m:r>
        <m:r>
          <m:t>20.55</m:t>
        </m:r>
      </m:oMath>
      <w:r>
        <w:t xml:space="preserve">,</w:t>
      </w:r>
      <w:r>
        <w:t xml:space="preserve"> </w:t>
      </w:r>
      <m:oMath>
        <m:r>
          <m:t>p</m:t>
        </m:r>
        <m:r>
          <m:rPr>
            <m:sty m:val="p"/>
          </m:rPr>
          <m:t>=</m:t>
        </m:r>
        <m:r>
          <m:t>0.152</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0.086</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(255 sites).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renders the most frequent grey and saturated failing pairs as measured).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407931"/>
            <wp:effectExtent b="0" l="0" r="0" t="0"/>
            <wp:docPr descr="" title="" id="37" name="Picture"/>
            <a:graphic>
              <a:graphicData uri="http://schemas.openxmlformats.org/drawingml/2006/picture">
                <pic:pic>
                  <pic:nvPicPr>
                    <pic:cNvPr descr="figures/fig4_pares_frecuentes.png" id="38" name="Picture"/>
                    <pic:cNvPicPr>
                      <a:picLocks noChangeArrowheads="1" noChangeAspect="1"/>
                    </pic:cNvPicPr>
                  </pic:nvPicPr>
                  <pic:blipFill>
                    <a:blip r:embed="rId36"/>
                    <a:stretch>
                      <a:fillRect/>
                    </a:stretch>
                  </pic:blipFill>
                  <pic:spPr bwMode="auto">
                    <a:xfrm>
                      <a:off x="0" y="0"/>
                      <a:ext cx="4533900" cy="3407931"/>
                    </a:xfrm>
                    <a:prstGeom prst="rect">
                      <a:avLst/>
                    </a:prstGeom>
                    <a:noFill/>
                    <a:ln w="9525">
                      <a:noFill/>
                      <a:headEnd/>
                      <a:tailEnd/>
                    </a:ln>
                  </pic:spPr>
                </pic:pic>
              </a:graphicData>
            </a:graphic>
          </wp:inline>
        </w:drawing>
      </w:r>
    </w:p>
    <w:p>
      <w:pPr>
        <w:pStyle w:val="ImageCaption"/>
      </w:pPr>
      <w:r>
        <w:t xml:space="preserve">Figure 4. The six most frequent failing text/background pairs in Table 3 that contain visible text (white-on-white and white-on-light-grey pairs omitted), rendered with the measured colours. Each panel gives the colours, the median WCAG contrast ratio, and the number of occurrences; the specimen text is illustrative and no institution is identified. Grey-on-white pairs (left column, top and bottom) and saturated colours used directly as text (red, olive, cyan) both appear among the most frequent failures.</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We also measured only the static rendered state of each page, so the interaction-state part of our initial hypothesis (hover, focus, and visited colours) was not tested. Third, the crawl captures a single point in time (August 2026); institutional websites are redesigned periodically, so these figures are not stable indefinitely. Fourth, Bolivia and Venezuela were excluded by a country-name mismatch in our sampling filter (the source lists them under their official names), so the 17-country sample does not cover every country in the region; we did not re-crawl them afterwards because a later crawl would not be comparable with the August 2026 snapshot.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(255 sites,</w:t>
      </w:r>
      <w:r>
        <w:t xml:space="preserve"> </w:t>
      </w:r>
      <m:oMath>
        <m:r>
          <m:t>p</m:t>
        </m:r>
        <m:r>
          <m:rPr>
            <m:sty m:val="p"/>
          </m:rPr>
          <m:t>=</m:t>
        </m:r>
        <m:r>
          <m:t>0.086</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93.4%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(93.4%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5" w:name="data-availability"/>
    <w:p>
      <w:pPr>
        <w:pStyle w:val="Heading1"/>
      </w:pPr>
      <w:r>
        <w:t xml:space="preserve">Data Availability</w:t>
      </w:r>
    </w:p>
    <w:p>
      <w:pPr>
        <w:pStyle w:val="FirstParagraph"/>
      </w:pPr>
      <w:r>
        <w:t xml:space="preserve">The domain list, crawl logs, extracted colour pairs, and analysis code are permanently archived and openly accessible in Zenodo at</w:t>
      </w:r>
      <w:r>
        <w:t xml:space="preserve"> </w:t>
      </w:r>
      <w:hyperlink r:id="rId43">
        <w:r>
          <w:rPr>
            <w:rStyle w:val="Hyperlink"/>
          </w:rPr>
          <w:t xml:space="preserve">https://doi.org/10.5281/zenodo.22907769</w:t>
        </w:r>
      </w:hyperlink>
      <w:r>
        <w:t xml:space="preserve"> </w:t>
      </w:r>
      <w:r>
        <w:t xml:space="preserve">and GitHub at</w:t>
      </w:r>
      <w:r>
        <w:t xml:space="preserve"> </w:t>
      </w:r>
      <w:hyperlink r:id="rId44">
        <w:r>
          <w:rPr>
            <w:rStyle w:val="Hyperlink"/>
          </w:rPr>
          <w:t xml:space="preserve">https://github.com/JuanAvilesP3/jged-contraste-cromatico</w:t>
        </w:r>
      </w:hyperlink>
      <w:r>
        <w:t xml:space="preserve">.</w:t>
      </w:r>
    </w:p>
    <w:bookmarkEnd w:id="45"/>
    <w:bookmarkStart w:id="46" w:name="funding"/>
    <w:p>
      <w:pPr>
        <w:pStyle w:val="Heading1"/>
      </w:pPr>
      <w:r>
        <w:t xml:space="preserve">Funding</w:t>
      </w:r>
    </w:p>
    <w:p>
      <w:pPr>
        <w:pStyle w:val="FirstParagraph"/>
      </w:pPr>
      <w:r>
        <w:t xml:space="preserve">This research received no specific grant from any funding agency in the public, commercial, or not-for-profit sectors. It was conducted within the academic research framework of Escuela Superior Politécnica de Chimborazo (ESPOCH).</w:t>
      </w:r>
    </w:p>
    <w:bookmarkEnd w:id="46"/>
    <w:bookmarkStart w:id="47" w:name="conflict-of-interest"/>
    <w:p>
      <w:pPr>
        <w:pStyle w:val="Heading1"/>
      </w:pPr>
      <w:r>
        <w:t xml:space="preserve">Conflict of Interest</w:t>
      </w:r>
    </w:p>
    <w:p>
      <w:pPr>
        <w:pStyle w:val="FirstParagraph"/>
      </w:pPr>
      <w:r>
        <w:t xml:space="preserve">The authors declare that they have no conflict of interest.</w:t>
      </w:r>
    </w:p>
    <w:bookmarkEnd w:id="47"/>
    <w:bookmarkStart w:id="48" w:name="use-of-generative-ai"/>
    <w:p>
      <w:pPr>
        <w:pStyle w:val="Heading1"/>
      </w:pPr>
      <w:r>
        <w:t xml:space="preserve">Use of Generative AI</w:t>
      </w:r>
    </w:p>
    <w:p>
      <w:pPr>
        <w:pStyle w:val="FirstParagraph"/>
      </w:pP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bookmarkEnd w:id="48"/>
    <w:bookmarkStart w:id="49" w:name="author-contributions"/>
    <w:p>
      <w:pPr>
        <w:pStyle w:val="Heading1"/>
      </w:pPr>
      <w:r>
        <w:t xml:space="preserve">Author Contributions</w:t>
      </w:r>
    </w:p>
    <w:p>
      <w:pPr>
        <w:pStyle w:val="FirstParagraph"/>
      </w:pPr>
      <w:r>
        <w:rPr>
          <w:b/>
          <w:bCs/>
        </w:rPr>
        <w:t xml:space="preserve">Juan Pablo Aviles-Esparza:</w:t>
      </w:r>
      <w:r>
        <w:t xml:space="preserve"> </w:t>
      </w:r>
      <w:r>
        <w:t xml:space="preserve">Conceptualization, Methodology, Software, Writing - Original Draft.</w:t>
      </w:r>
      <w:r>
        <w:t xml:space="preserve"> </w:t>
      </w:r>
      <w:r>
        <w:rPr>
          <w:b/>
          <w:bCs/>
        </w:rPr>
        <w:t xml:space="preserve">Italo Javier Tenempaguay-Granizo:</w:t>
      </w:r>
      <w:r>
        <w:t xml:space="preserve"> </w:t>
      </w:r>
      <w:r>
        <w:t xml:space="preserve">Data Curation, Formal Analysis, Validation, Visualization, Writing - Review &amp; Editing.</w:t>
      </w:r>
      <w:r>
        <w:t xml:space="preserve"> </w:t>
      </w:r>
      <w:r>
        <w:rPr>
          <w:b/>
          <w:bCs/>
        </w:rPr>
        <w:t xml:space="preserve">Isaac David Torres-Paredes:</w:t>
      </w:r>
      <w:r>
        <w:t xml:space="preserve"> </w:t>
      </w:r>
      <w:r>
        <w:t xml:space="preserve">Supervision, Project Administration, Resources, Writing - Review &amp; Editing.</w:t>
      </w:r>
    </w:p>
    <w:bookmarkEnd w:id="49"/>
    <w:bookmarkStart w:id="65" w:name="references"/>
    <w:p>
      <w:pPr>
        <w:pStyle w:val="Heading1"/>
      </w:pPr>
      <w:r>
        <w:t xml:space="preserve">References</w:t>
      </w:r>
    </w:p>
    <w:p>
      <w:pPr>
        <w:pStyle w:val="FirstParagraph"/>
        <w:jc w:val="left"/>
      </w:pPr>
      <w:r>
        <w:t xml:space="preserve">Acosta-Vargas, P., Acosta, T. &amp;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50">
        <w:r>
          <w:rPr>
            <w:rStyle w:val="Hyperlink"/>
          </w:rPr>
          <w:t xml:space="preserve">https://doi.org/10.1109/ACCESS.2018.2848978</w:t>
        </w:r>
      </w:hyperlink>
      <w:r>
        <w:t xml:space="preserve">.</w:t>
      </w:r>
    </w:p>
    <w:p>
      <w:pPr>
        <w:pStyle w:val="BodyText"/>
        <w:jc w:val="left"/>
      </w:pPr>
      <w:r>
        <w:t xml:space="preserve">Acosta-Vargas, P., González, M. &amp;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51">
        <w:r>
          <w:rPr>
            <w:rStyle w:val="Hyperlink"/>
          </w:rPr>
          <w:t xml:space="preserve">https://doi.org/10.1016/j.dib.2019.105013</w:t>
        </w:r>
      </w:hyperlink>
      <w:r>
        <w:t xml:space="preserve">.</w:t>
      </w:r>
    </w:p>
    <w:p>
      <w:pPr>
        <w:pStyle w:val="BodyText"/>
        <w:jc w:val="left"/>
      </w:pPr>
      <w:r>
        <w:t xml:space="preserve">Acosta-Vargas, P., Salvador-Acosta, B., Salvador-Ullauri, L. &amp;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2">
        <w:r>
          <w:rPr>
            <w:rStyle w:val="Hyperlink"/>
          </w:rPr>
          <w:t xml:space="preserve">https://doi.org/10.7717/peerj-cs.891</w:t>
        </w:r>
      </w:hyperlink>
      <w:r>
        <w:t xml:space="preserve">.</w:t>
      </w:r>
    </w:p>
    <w:p>
      <w:pPr>
        <w:pStyle w:val="BodyText"/>
        <w:jc w:val="left"/>
      </w:pPr>
      <w:r>
        <w:t xml:space="preserve">Acosta-Vargas, P., Salvador-Ullauri, A. &amp;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3">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&amp;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4">
        <w:r>
          <w:rPr>
            <w:rStyle w:val="Hyperlink"/>
          </w:rPr>
          <w:t xml:space="preserve">https://doi.org/10.3390/su132011237</w:t>
        </w:r>
      </w:hyperlink>
      <w:r>
        <w:t xml:space="preserve">.</w:t>
      </w:r>
    </w:p>
    <w:p>
      <w:pPr>
        <w:pStyle w:val="BodyText"/>
        <w:jc w:val="left"/>
      </w:pPr>
      <w:r>
        <w:t xml:space="preserve">Henry, S. L., Abou-Zahra, S. &amp;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5">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(2007),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 S 014-4/E:2007 (ISO 11664-4:2008), CIE.</w:t>
      </w:r>
      <w:r>
        <w:br/>
      </w:r>
      <w:hyperlink r:id="rId56">
        <w:r>
          <w:rPr>
            <w:rStyle w:val="Hyperlink"/>
          </w:rPr>
          <w:t xml:space="preserve">https://cie.co.at/publications/colorimetry-part-4-cie-1976-lab-colour-space-0</w:t>
        </w:r>
      </w:hyperlink>
    </w:p>
    <w:p>
      <w:pPr>
        <w:pStyle w:val="BodyText"/>
        <w:jc w:val="left"/>
      </w:pPr>
      <w:r>
        <w:t xml:space="preserve">Jović, A., Žiljak Stanimirović, I., Mikota, M. &amp; Mandić, L. (2026),</w:t>
      </w:r>
      <w:r>
        <w:t xml:space="preserve"> </w:t>
      </w:r>
      <w:r>
        <w:t xml:space="preserve">‘Design recommendations and future prospects for text legibility in augmented reality’</w:t>
      </w:r>
      <w:r>
        <w:t xml:space="preserve">,</w:t>
      </w:r>
      <w:r>
        <w:t xml:space="preserve"> </w:t>
      </w:r>
      <w:r>
        <w:rPr>
          <w:i/>
          <w:iCs/>
        </w:rPr>
        <w:t xml:space="preserve">Journal of Graphic Engineering and Design</w:t>
      </w:r>
      <w:r>
        <w:t xml:space="preserve"> </w:t>
      </w:r>
      <w:r>
        <w:rPr>
          <w:b/>
          <w:bCs/>
        </w:rPr>
        <w:t xml:space="preserve">17</w:t>
      </w:r>
      <w:r>
        <w:t xml:space="preserve">(3), 19–34.</w:t>
      </w:r>
      <w:r>
        <w:t xml:space="preserve"> </w:t>
      </w:r>
      <w:hyperlink r:id="rId57">
        <w:r>
          <w:rPr>
            <w:rStyle w:val="Hyperlink"/>
          </w:rPr>
          <w:t xml:space="preserve">https://doi.org/10.24867/JGED-2026-3-019</w:t>
        </w:r>
      </w:hyperlink>
      <w:r>
        <w:t xml:space="preserve">.</w:t>
      </w:r>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8">
        <w:r>
          <w:rPr>
            <w:rStyle w:val="Hyperlink"/>
          </w:rPr>
          <w:t xml:space="preserve">https://doi.org/10.24867/JGED-2024-4-045</w:t>
        </w:r>
      </w:hyperlink>
      <w:r>
        <w:t xml:space="preserve">.</w:t>
      </w:r>
    </w:p>
    <w:p>
      <w:pPr>
        <w:pStyle w:val="BodyText"/>
        <w:jc w:val="left"/>
      </w:pPr>
      <w:r>
        <w:t xml:space="preserve">Punsongserm, R. &amp;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9">
        <w:r>
          <w:rPr>
            <w:rStyle w:val="Hyperlink"/>
          </w:rPr>
          <w:t xml:space="preserve">https://doi.org/10.24867/JGED-2025-1-017</w:t>
        </w:r>
      </w:hyperlink>
      <w:r>
        <w:t xml:space="preserve">.</w:t>
      </w:r>
    </w:p>
    <w:p>
      <w:pPr>
        <w:pStyle w:val="BodyText"/>
        <w:jc w:val="left"/>
      </w:pPr>
      <w:r>
        <w:t xml:space="preserve">Rello, L. &amp;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60">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&amp;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61">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62">
        <w:r>
          <w:rPr>
            <w:rStyle w:val="Hyperlink"/>
          </w:rPr>
          <w:t xml:space="preserve">https://webaim.org/projects/million/</w:t>
        </w:r>
      </w:hyperlink>
    </w:p>
    <w:p>
      <w:pPr>
        <w:pStyle w:val="BodyText"/>
        <w:jc w:val="left"/>
      </w:pPr>
      <w:r>
        <w:t xml:space="preserve">Weingerl, P., Nedeljković, U. &amp;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3">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current version 12 December 2024. Available:</w:t>
      </w:r>
      <w:r>
        <w:t xml:space="preserve"> </w:t>
      </w:r>
      <w:hyperlink r:id="rId64">
        <w:r>
          <w:rPr>
            <w:rStyle w:val="Hyperlink"/>
          </w:rPr>
          <w:t xml:space="preserve">https://www.w3.org/TR/WCAG22/</w:t>
        </w:r>
      </w:hyperlink>
      <w:r>
        <w:t xml:space="preserve">.</w:t>
      </w:r>
    </w:p>
    <w:bookmarkEnd w:id="65"/>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cie.co.at/publications/colorimetry-part-4-cie-1976-lab-colour-space-0" TargetMode="External"/><Relationship Id="rId51" Type="http://schemas.openxmlformats.org/officeDocument/2006/relationships/hyperlink" Target="https://doi.org/10.1016/j.dib.2019.105013" TargetMode="External"/><Relationship Id="rId50" Type="http://schemas.openxmlformats.org/officeDocument/2006/relationships/hyperlink" Target="https://doi.org/10.1109/ACCESS.2018.2848978" TargetMode="External"/><Relationship Id="rId53" Type="http://schemas.openxmlformats.org/officeDocument/2006/relationships/hyperlink" Target="https://doi.org/10.1109/ACCESS.2019.2939068" TargetMode="External"/><Relationship Id="rId60" Type="http://schemas.openxmlformats.org/officeDocument/2006/relationships/hyperlink" Target="https://doi.org/10.1145/2513383.2513447" TargetMode="External"/><Relationship Id="rId55" Type="http://schemas.openxmlformats.org/officeDocument/2006/relationships/hyperlink" Target="https://doi.org/10.1145/2596695.2596719" TargetMode="External"/><Relationship Id="rId61" Type="http://schemas.openxmlformats.org/officeDocument/2006/relationships/hyperlink" Target="https://doi.org/10.24867/JGED-2021-2-029" TargetMode="External"/><Relationship Id="rId63" Type="http://schemas.openxmlformats.org/officeDocument/2006/relationships/hyperlink" Target="https://doi.org/10.24867/JGED-2022-3-051" TargetMode="External"/><Relationship Id="rId58" Type="http://schemas.openxmlformats.org/officeDocument/2006/relationships/hyperlink" Target="https://doi.org/10.24867/JGED-2024-4-045" TargetMode="External"/><Relationship Id="rId59" Type="http://schemas.openxmlformats.org/officeDocument/2006/relationships/hyperlink" Target="https://doi.org/10.24867/JGED-2025-1-017" TargetMode="External"/><Relationship Id="rId57" Type="http://schemas.openxmlformats.org/officeDocument/2006/relationships/hyperlink" Target="https://doi.org/10.24867/JGED-2026-3-019" TargetMode="External"/><Relationship Id="rId54" Type="http://schemas.openxmlformats.org/officeDocument/2006/relationships/hyperlink" Target="https://doi.org/10.3390/su132011237" TargetMode="External"/><Relationship Id="rId43" Type="http://schemas.openxmlformats.org/officeDocument/2006/relationships/hyperlink" Target="https://doi.org/10.5281/zenodo.22907769" TargetMode="External"/><Relationship Id="rId52" Type="http://schemas.openxmlformats.org/officeDocument/2006/relationships/hyperlink" Target="https://doi.org/10.7717/peerj-cs.891" TargetMode="External"/><Relationship Id="rId44" Type="http://schemas.openxmlformats.org/officeDocument/2006/relationships/hyperlink" Target="https://github.com/JuanAvilesP3/jged-contraste-cromatico" TargetMode="External"/><Relationship Id="rId62" Type="http://schemas.openxmlformats.org/officeDocument/2006/relationships/hyperlink" Target="https://webaim.org/projects/million/" TargetMode="External"/><Relationship Id="rId64"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2026-10-16T22:44:49Z</dcterms:created>
  <dcterms:modified xsi:type="dcterms:W3CDTF">2026-10-16T22:44:49Z</dcterms:modified>
</cp:coreProperties>
</file>

<file path=docProps/custom.xml><?xml version="1.0" encoding="utf-8"?>
<Properties xmlns="http://schemas.openxmlformats.org/officeDocument/2006/custom-properties" xmlns:vt="http://schemas.openxmlformats.org/officeDocument/2006/docPropsVTypes"/>
</file>