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argue that work on accessibility benefits all users, particularly those facing situational limitations such as device or environmental constraints, and not only people with disabilities; insufficient contrast, which also hinders reading on poor screens or in bright light, is a case in point,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2026-10-16T22:44:51Z</dcterms:created>
  <dcterms:modified xsi:type="dcterms:W3CDTF">2026-10-16T22:44:51Z</dcterms:modified>
</cp:coreProperties>
</file>

<file path=docProps/custom.xml><?xml version="1.0" encoding="utf-8"?>
<Properties xmlns="http://schemas.openxmlformats.org/officeDocument/2006/custom-properties" xmlns:vt="http://schemas.openxmlformats.org/officeDocument/2006/docPropsVTypes"/>
</file>