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93.5%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(256 sites, countries with</w:t>
      </w:r>
      <w:r>
        <w:t xml:space="preserve"> </w:t>
      </w:r>
      <m:oMath>
        <m:r>
          <m:rPr>
            <m:sty m:val="p"/>
          </m:rPr>
          <m:t>≥</m:t>
        </m:r>
      </m:oMath>
      <w:r>
        <w:t xml:space="preserve">5 sites) is not significant (</w:t>
      </w:r>
      <m:oMath>
        <m:sSup>
          <m:e>
            <m:r>
              <m:t>χ</m:t>
            </m:r>
          </m:e>
          <m:sup>
            <m:r>
              <m:t>2</m:t>
            </m:r>
          </m:sup>
        </m:sSup>
        <m:r>
          <m:rPr>
            <m:sty m:val="p"/>
          </m:rPr>
          <m:t>=</m:t>
        </m:r>
        <m:r>
          <m:t>22.98</m:t>
        </m:r>
      </m:oMath>
      <w:r>
        <w:t xml:space="preserve">,</w:t>
      </w:r>
      <w:r>
        <w:t xml:space="preserve"> </w:t>
      </w:r>
      <m:oMath>
        <m:r>
          <m:t>d</m:t>
        </m:r>
        <m:r>
          <m:t>f</m:t>
        </m:r>
        <m:r>
          <m:rPr>
            <m:sty m:val="p"/>
          </m:rPr>
          <m:t>=</m:t>
        </m:r>
        <m:r>
          <m:t>15</m:t>
        </m:r>
      </m:oMath>
      <w:r>
        <w:t xml:space="preserve">,</w:t>
      </w:r>
      <w:r>
        <w:t xml:space="preserve"> </w:t>
      </w:r>
      <m:oMath>
        <m:r>
          <m:t>p</m:t>
        </m:r>
        <m:r>
          <m:rPr>
            <m:sty m:val="p"/>
          </m:rPr>
          <m:t>=</m:t>
        </m:r>
        <m:r>
          <m:t>0.085</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single most common accessibility failure detected, unchanged in rank for seven consecutive years. Such global scans report an aggregate world figure, though, and are not designed to, and do not, break results out for Latin American higher education specifically. Latin American higher education, more than 460 institutions across 19 countries,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Nedeljković &amp; Pušnik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&amp; Suvakunta (2025) conducted a technical review of typeface choice, type size, and colour contrast in government mobile applications, and, closer to our own setting, found systematic WCAG non-compliance in public-sector digital products, a pattern we replicate, in a different modality and region, for public university websites. Ofosu-Asare (2024) examined usability and design evaluation techniques for online learning environments, noting that accessibility in educational digital products is usually assessed qualitatively or on small samples rather than through a large-scale automated survey, which is the gap this paper addresses directly for the chromatic dimension. Chromatic reproduction in printed media (including the drying and ink formulation properties that govern gamut and delta-E) has been studied within this journal’s tradition (Saad et al., 2021); the digital counterpart of that problem, namely whether the sRGB palette chosen for web interfaces falls within the perceptually accessible gamut, is the chromatic problem this paper addresses.</w:t>
      </w:r>
    </w:p>
    <w:p>
      <w:pPr>
        <w:pStyle w:val="BodyText"/>
      </w:pPr>
      <w:r>
        <w:t xml:space="preserve">The conceptual foundation of our study rests on the universal web accessibility argument advanced by Henry, Abou-Zahra &amp; Brewer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&amp; Baeza-Yates (2013) further demonstrated that typographic and chromatic choices jointly affect reading speed and comprehension for users with dyslexia, a population not typically captured by automated accessibility audits focused on WCAG pass/fail, reinforcing the argument that a perceptual analysis in continuous CIELAB space, rather than a binary threshold test, provides richer information about the actual user experience.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using the WAVE automated accessibility engine, cataloguing a broad range of WCAG 2.0 failures and confirming that colour contrast is among the most frequently occurring ones; it is the benchmark against which our 93.5% per-site failure rate and our 21.6% pair-level failure rate should be positioned. A subsequent heuristic method for low-vision accessibility (Acosta-Vargas, Salvador-Ullauri &amp; Lujan-Mora, 2019) extended this to a perceptual dimension, arguing that WCAG’s relative-luminance threshold is a necessary but not perceptually sufficient criterion, a theoretical position that directly motivates our decision to cluster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rather than stopping at the WCAG ratio alone.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mobile-app study (Acosta-Vargas et al., 2021) reported that 86% of Ecuadorian Android applications in Google Play failed WCAG contrast criteria, situating our university-website result within a broader pattern of contrast non-compliance across the Latin American digital product ecosystem.</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the source dataset contained no entries for Bolivia or Venezuela, which are consequently absent from this study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1976)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(256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93.5% of the 259 successfully analysed homepages contain at least one critical (failing) pair, and the median site has 19.9%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256 of 259 sites).</w:t>
      </w:r>
    </w:p>
    <w:tbl>
      <w:tblPr>
        <w:tblStyle w:val="Table"/>
        <w:tblW w:type="auto" w:w="0"/>
        <w:jc w:val="center"/>
        <w:tblLook w:firstRow="1" w:lastRow="0" w:firstColumn="0" w:lastColumn="0" w:noHBand="0" w:noVBand="0" w:val="0020"/>
        <w:tblCaption w:val="Table 2. Descriptive statistics by country (16 countries with \geq5 sites; 256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26</w:t>
            </w:r>
          </w:p>
        </w:tc>
        <w:tc>
          <w:tcPr/>
          <w:p>
            <w:pPr>
              <w:pStyle w:val="Compact"/>
              <w:jc w:val="center"/>
            </w:pPr>
            <w:r>
              <w:rPr>
                <w:sz w:val="18"/>
              </w:rPr>
              <w:t xml:space="preserve">12.4</w:t>
            </w:r>
          </w:p>
        </w:tc>
        <w:tc>
          <w:tcPr/>
          <w:p>
            <w:pPr>
              <w:pStyle w:val="Compact"/>
              <w:jc w:val="center"/>
            </w:pPr>
            <w:r>
              <w:rPr>
                <w:sz w:val="18"/>
              </w:rPr>
              <w:t xml:space="preserve">92.3</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256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22.98</m:t>
        </m:r>
      </m:oMath>
      <w:r>
        <w:t xml:space="preserve">,</w:t>
      </w:r>
      <w:r>
        <w:t xml:space="preserve"> </w:t>
      </w:r>
      <m:oMath>
        <m:r>
          <m:t>d</m:t>
        </m:r>
        <m:r>
          <m:t>f</m:t>
        </m:r>
        <m:r>
          <m:rPr>
            <m:sty m:val="p"/>
          </m:rPr>
          <m:t>=</m:t>
        </m:r>
        <m:r>
          <m:t>15</m:t>
        </m:r>
      </m:oMath>
      <w:r>
        <w:t xml:space="preserve">,</w:t>
      </w:r>
      <w:r>
        <w:t xml:space="preserve"> </w:t>
      </w:r>
      <m:oMath>
        <m:r>
          <m:t>p</m:t>
        </m:r>
        <m:r>
          <m:rPr>
            <m:sty m:val="p"/>
          </m:rPr>
          <m:t>=</m:t>
        </m:r>
        <m:r>
          <m:t>0.085</m:t>
        </m:r>
      </m:oMath>
      <w:r>
        <w:t xml:space="preserve">) or on continuous %AA-failure (Kruskal-Wallis</w:t>
      </w:r>
      <w:r>
        <w:t xml:space="preserve"> </w:t>
      </w:r>
      <m:oMath>
        <m:r>
          <m:t>H</m:t>
        </m:r>
        <m:r>
          <m:rPr>
            <m:sty m:val="p"/>
          </m:rPr>
          <m:t>=</m:t>
        </m:r>
        <m:r>
          <m:t>21.53</m:t>
        </m:r>
      </m:oMath>
      <w:r>
        <w:t xml:space="preserve">,</w:t>
      </w:r>
      <w:r>
        <w:t xml:space="preserve"> </w:t>
      </w:r>
      <m:oMath>
        <m:r>
          <m:t>p</m:t>
        </m:r>
        <m:r>
          <m:rPr>
            <m:sty m:val="p"/>
          </m:rPr>
          <m:t>=</m:t>
        </m:r>
        <m:r>
          <m:t>0.121</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0.081</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(256 sites) for statistical robustness.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shows four representative examples).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219526"/>
            <wp:effectExtent b="0" l="0" r="0" t="0"/>
            <wp:docPr descr="" title="" id="37" name="Picture"/>
            <a:graphic>
              <a:graphicData uri="http://schemas.openxmlformats.org/drawingml/2006/picture">
                <pic:pic>
                  <pic:nvPicPr>
                    <pic:cNvPr descr="figures/fig4_capturas_ejemplo.png" id="38" name="Picture"/>
                    <pic:cNvPicPr>
                      <a:picLocks noChangeArrowheads="1" noChangeAspect="1"/>
                    </pic:cNvPicPr>
                  </pic:nvPicPr>
                  <pic:blipFill>
                    <a:blip r:embed="rId36"/>
                    <a:stretch>
                      <a:fillRect/>
                    </a:stretch>
                  </pic:blipFill>
                  <pic:spPr bwMode="auto">
                    <a:xfrm>
                      <a:off x="0" y="0"/>
                      <a:ext cx="4533900" cy="3219526"/>
                    </a:xfrm>
                    <a:prstGeom prst="rect">
                      <a:avLst/>
                    </a:prstGeom>
                    <a:noFill/>
                    <a:ln w="9525">
                      <a:noFill/>
                      <a:headEnd/>
                      <a:tailEnd/>
                    </a:ln>
                  </pic:spPr>
                </pic:pic>
              </a:graphicData>
            </a:graphic>
          </wp:inline>
        </w:drawing>
      </w:r>
    </w:p>
    <w:p>
      <w:pPr>
        <w:pStyle w:val="ImageCaption"/>
      </w:pPr>
      <w:r>
        <w:t xml:space="preserve">Figure 4. Homepages among the highest AA-failure rates in the sample, illustrating the brand-palette pattern described above: saturated institutional colours used directly as text or overlay colour rather than as accents. Captures show only public institutional cover content, not personal data.</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Third, the crawl captures a single point in time (August 2026); institutional websites are redesigned periodically, so these figures are not stable indefinitely. Fourth, the source domain list had no entries for Bolivia or Venezuela, so the 17-country sample does not cover every country in the region.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(256 sites,</w:t>
      </w:r>
      <w:r>
        <w:t xml:space="preserve"> </w:t>
      </w:r>
      <m:oMath>
        <m:r>
          <m:t>p</m:t>
        </m:r>
        <m:r>
          <m:rPr>
            <m:sty m:val="p"/>
          </m:rPr>
          <m:t>=</m:t>
        </m:r>
        <m:r>
          <m:t>0.085</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93.5%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(93.5%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https://doi.org/10.5281/zenodo.22907769</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received no specific grant from any funding agency in the public, commercial, or not-for-profit sectors.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Generative AI tools (large language models) were used during this work to assist with drafting and editing text, writing and debugging analysis scripts, LaTeX formatting, and pre-submission critical review. All research questions, study design, data collection, executed analyses, reported results, and interpretations were defined, run, and verified by the authors, who take full responsibility for the content of this article. No figure was produced with image-generation tools.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4"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&amp;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(1976),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w:t>
      </w:r>
      <w:r>
        <w:br/>
      </w:r>
      <w:hyperlink r:id="rId56">
        <w:r>
          <w:rPr>
            <w:rStyle w:val="Hyperlink"/>
          </w:rPr>
          <w:t xml:space="preserve">https://cie.co.at/publications/colorimetry-part-4-cie-1976-lab-colour-space-0</w:t>
        </w:r>
      </w:hyperlink>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7">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8">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9">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0">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1">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2">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Available:</w:t>
      </w:r>
      <w:r>
        <w:t xml:space="preserve"> </w:t>
      </w:r>
      <w:hyperlink r:id="rId63">
        <w:r>
          <w:rPr>
            <w:rStyle w:val="Hyperlink"/>
          </w:rPr>
          <w:t xml:space="preserve">https://www.w3.org/TR/WCAG22/</w:t>
        </w:r>
      </w:hyperlink>
      <w:r>
        <w:t xml:space="preserve">.</w:t>
      </w:r>
    </w:p>
    <w:bookmarkEnd w:id="64"/>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59"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0" Type="http://schemas.openxmlformats.org/officeDocument/2006/relationships/hyperlink" Target="https://doi.org/10.24867/JGED-2021-2-029" TargetMode="External"/><Relationship Id="rId62" Type="http://schemas.openxmlformats.org/officeDocument/2006/relationships/hyperlink" Target="https://doi.org/10.24867/JGED-2022-3-051" TargetMode="External"/><Relationship Id="rId57" Type="http://schemas.openxmlformats.org/officeDocument/2006/relationships/hyperlink" Target="https://doi.org/10.24867/JGED-2024-4-045" TargetMode="External"/><Relationship Id="rId58" Type="http://schemas.openxmlformats.org/officeDocument/2006/relationships/hyperlink" Target="https://doi.org/10.24867/JGED-2025-1-017"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1" Type="http://schemas.openxmlformats.org/officeDocument/2006/relationships/hyperlink" Target="https://webaim.org/projects/million/" TargetMode="External"/><Relationship Id="rId63"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59"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0" Type="http://schemas.openxmlformats.org/officeDocument/2006/relationships/hyperlink" Target="https://doi.org/10.24867/JGED-2021-2-029" TargetMode="External"/><Relationship Id="rId62" Type="http://schemas.openxmlformats.org/officeDocument/2006/relationships/hyperlink" Target="https://doi.org/10.24867/JGED-2022-3-051" TargetMode="External"/><Relationship Id="rId57" Type="http://schemas.openxmlformats.org/officeDocument/2006/relationships/hyperlink" Target="https://doi.org/10.24867/JGED-2024-4-045" TargetMode="External"/><Relationship Id="rId58" Type="http://schemas.openxmlformats.org/officeDocument/2006/relationships/hyperlink" Target="https://doi.org/10.24867/JGED-2025-1-017"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1" Type="http://schemas.openxmlformats.org/officeDocument/2006/relationships/hyperlink" Target="https://webaim.org/projects/million/" TargetMode="External"/><Relationship Id="rId63"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2026-10-16T19:00:27Z</dcterms:created>
  <dcterms:modified xsi:type="dcterms:W3CDTF">2026-10-16T19:00:27Z</dcterms:modified>
</cp:coreProperties>
</file>

<file path=docProps/custom.xml><?xml version="1.0" encoding="utf-8"?>
<Properties xmlns="http://schemas.openxmlformats.org/officeDocument/2006/custom-properties" xmlns:vt="http://schemas.openxmlformats.org/officeDocument/2006/docPropsVTypes"/>
</file>