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specific grant from any funding agency in the public, commercial, or not-for-profit sectors.</w:t>
      </w:r>
    </w:p>
    <w:p>
      <w:pPr>
        <w:numPr>
          <w:ilvl w:val="0"/>
          <w:numId w:val="1002"/>
        </w:numPr>
      </w:pPr>
      <w:r>
        <w:rPr>
          <w:b/>
          <w:bCs/>
        </w:rPr>
        <w:t xml:space="preserve">Use of Generative AI:</w:t>
      </w:r>
      <w:r>
        <w:t xml:space="preserve"> </w:t>
      </w:r>
      <w:r>
        <w:t xml:space="preserve">Generative AI tools (large language models) were used during this work to assist with drafting and editing text, writing and debugging analysis scripts, LaTeX formatting, and pre-submission critical review. All research questions, study design, data collection, executed analyses, reported results, and interpretations were defined, run,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2026-10-16T19:00:52Z</dcterms:created>
  <dcterms:modified xsi:type="dcterms:W3CDTF">2026-10-16T19:00:52Z</dcterms:modified>
</cp:coreProperties>
</file>

<file path=docProps/custom.xml><?xml version="1.0" encoding="utf-8"?>
<Properties xmlns="http://schemas.openxmlformats.org/officeDocument/2006/custom-properties" xmlns:vt="http://schemas.openxmlformats.org/officeDocument/2006/docPropsVTypes"/>
</file>