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Chromatic Accessibility in Latin American University Websites: A Large-Scale Survey of WCAG Contrast Compliance</w:t>
      </w:r>
    </w:p>
    <w:p>
      <w:pPr>
        <w:spacing w:after="150" w:before="100"/>
      </w:pPr>
      <w:r>
        <w:rPr>
          <w:b/>
          <w:bCs/>
          <w:sz w:val="24"/>
          <w:szCs w:val="24"/>
        </w:rPr>
        <w:t xml:space="preserve">Abstract</w:t>
      </w:r>
    </w:p>
    <w:p>
      <w:pPr>
        <w:spacing w:after="200"/>
      </w:pPr>
      <w:r>
        <w:rPr>
          <w:i w:val="false"/>
          <w:iCs w:val="false"/>
          <w:sz w:val="22"/>
          <w:szCs w:val="22"/>
        </w:rPr>
        <w:t xml:space="preserve">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independent cross-check. We find that 21.6% of all color pairs fail the AA threshold, and 93.5% of sites contain at least one critical failure. A pair-level chi-square test suggests compliance differs by country (χ²=1625.04, df=16, p &lt; 0.001, Cramér's V = 0.198), but because color pairs are clustered within sites rather than independent, we treat this as exploratory: a site-level test on the true unit of analysis (256 sites, countries with ≥5 sites) is not significant (χ² = 22.98, df = 15, p = 0.085). We also checked whether a within-site typography effect (large text failing less often) would be more robust to this clustering concern; it is not: the effect does not survive site-clustered robust standard errors (p = 0.473), though continuous font size in pixels retains a small, marginally significant association with failure (p = 0.027). Unsupervised clustering of the failing pairs in the full CIELAB L∗a∗b∗ space confirms our initial hypothesis rather than complicating it: near-neutral, low-chroma clusters consistent with the “light gray on white” pattern account for 80.0% of all failing pairs, with four smaller chromatic clusters spanning the remaining 20.0%.</w:t>
      </w:r>
    </w:p>
    <w:p>
      <w:pPr>
        <w:pStyle w:val="Heading1"/>
        <w:spacing w:after="150" w:before="300"/>
      </w:pPr>
      <w:r>
        <w:t xml:space="preserve">1. Introduction</w:t>
      </w:r>
    </w:p>
    <w:p>
      <w:pPr>
        <w:spacing w:after="200"/>
      </w:pPr>
      <w:r>
        <w:rPr>
          <w:sz w:val="22"/>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spacing w:after="200"/>
      </w:pPr>
      <w:r>
        <w:rPr>
          <w:sz w:val="22"/>
          <w:szCs w:val="22"/>
        </w:rP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200"/>
      </w:pPr>
      <w:r>
        <w:rPr>
          <w:sz w:val="22"/>
          <w:szCs w:val="22"/>
        </w:rP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if any,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spacing w:after="200"/>
      </w:pPr>
      <w:r>
        <w:rPr>
          <w:sz w:val="22"/>
          <w:szCs w:val="22"/>
        </w:rP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characterization, in the full CIELAB color space, of the visual patterns underlying contrast failures in this region, showing that two low-chroma, near-neutral clusters (a near-white and a mid-gray pattern) jointly dominate, with four smaller chromatic clusters accounting for the remainder.</w:t>
      </w:r>
    </w:p>
    <w:p>
      <w:pPr>
        <w:pStyle w:val="Heading1"/>
        <w:spacing w:after="150" w:before="300"/>
      </w:pPr>
      <w:r>
        <w:t xml:space="preserve">2. Related Work</w:t>
      </w:r>
    </w:p>
    <w:p>
      <w:pPr>
        <w:spacing w:after="200"/>
      </w:pPr>
      <w:r>
        <w:rPr>
          <w:sz w:val="22"/>
          <w:szCs w:val="22"/>
        </w:rP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w:t>
      </w:r>
    </w:p>
    <w:p>
      <w:pPr>
        <w:pStyle w:val="Heading1"/>
        <w:spacing w:after="150" w:before="300"/>
      </w:pPr>
      <w:r>
        <w:t xml:space="preserve">3. Methodology</w:t>
      </w:r>
    </w:p>
    <w:p>
      <w:pPr>
        <w:spacing w:after="200"/>
      </w:pPr>
      <w:r>
        <w:rPr>
          <w:sz w:val="24"/>
          <w:szCs w:val="24"/>
        </w:rPr>
        <w:t xml:space="preserve">3.1 Site selection</w:t>
      </w:r>
    </w:p>
    <w:p>
      <w:pPr>
        <w:spacing w:after="200"/>
      </w:pPr>
      <w:r>
        <w:rPr>
          <w:sz w:val="22"/>
          <w:szCs w:val="22"/>
        </w:rPr>
        <w:t xml:space="preserve">We built the candidate list from the </w:t>
      </w:r>
      <w:r>
        <w:rPr>
          <w:sz w:val="22"/>
          <w:szCs w:val="22"/>
        </w:rPr>
        <w:t xml:space="preserve">Hipo/university-domains-list</w:t>
      </w:r>
      <w:r>
        <w:rPr>
          <w:sz w:val="22"/>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200"/>
      </w:pPr>
      <w:r>
        <w:rPr>
          <w:sz w:val="24"/>
          <w:szCs w:val="24"/>
        </w:rPr>
        <w:t xml:space="preserve">3.2 Crawling</w:t>
      </w:r>
    </w:p>
    <w:p>
      <w:pPr>
        <w:spacing w:after="200"/>
      </w:pPr>
      <w:r>
        <w:rPr>
          <w:sz w:val="22"/>
          <w:szCs w:val="22"/>
        </w:rPr>
        <w:t xml:space="preserve">Each homepage was visited with a headless Chromium browser (Playwright), identifying our crawler with a descriptive user agent and honoring </w:t>
      </w:r>
      <w:r>
        <w:rPr>
          <w:rFonts w:ascii="Courier New" w:cs="Courier New" w:eastAsia="Courier New" w:hAnsi="Courier New"/>
          <w:sz w:val="22"/>
          <w:szCs w:val="22"/>
        </w:rPr>
        <w:t xml:space="preserve">robots.txt</w:t>
      </w:r>
      <w:r>
        <w:rPr>
          <w:sz w:val="22"/>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Courier New" w:cs="Courier New" w:eastAsia="Courier New" w:hAnsi="Courier New"/>
          <w:sz w:val="22"/>
          <w:szCs w:val="22"/>
        </w:rPr>
        <w:t xml:space="preserve">robots.txt</w:t>
      </w:r>
      <w:r>
        <w:rPr>
          <w:sz w:val="22"/>
          <w:szCs w:val="22"/>
        </w:rPr>
        <w:t xml:space="preserve"> (see Table 1).</w:t>
      </w:r>
    </w:p>
    <w:p>
      <w:pPr>
        <w:spacing w:after="200"/>
      </w:pPr>
      <w:r>
        <w:rPr>
          <w:sz w:val="24"/>
          <w:szCs w:val="24"/>
        </w:rPr>
        <w:t xml:space="preserve">3.3 Color pair extraction</w:t>
      </w:r>
    </w:p>
    <w:p>
      <w:pPr>
        <w:spacing w:after="200"/>
      </w:pPr>
      <w:r>
        <w:rPr>
          <w:sz w:val="22"/>
          <w:szCs w:val="22"/>
        </w:rPr>
        <w:t xml:space="preserve">For each of the 278 reachable sites we revisited the live page a second time and, via </w:t>
      </w:r>
      <w:r>
        <w:rPr>
          <w:rFonts w:ascii="Courier New" w:cs="Courier New" w:eastAsia="Courier New" w:hAnsi="Courier New"/>
          <w:sz w:val="22"/>
          <w:szCs w:val="22"/>
        </w:rPr>
        <w:t xml:space="preserve">getComputedStyle()</w:t>
      </w:r>
      <w:r>
        <w:rPr>
          <w:sz w:val="22"/>
          <w:szCs w:val="22"/>
        </w:rPr>
        <w:t xml:space="preserve">, extracted every visible text node's computed text color together with its </w:t>
      </w:r>
      <w:r>
        <w:rPr>
          <w:sz w:val="22"/>
          <w:szCs w:val="22"/>
        </w:rPr>
        <w:t xml:space="preserve">effective</w:t>
      </w:r>
      <w:r>
        <w:rPr>
          <w:sz w:val="22"/>
          <w:szCs w:val="22"/>
        </w:rPr>
        <w:t xml:space="preserve"> background color, resolved by walking up the DOM ancestor chain until a non-transparent background is found, since a text element's immediate parent is frequently transparent. Elements with zero width/height, </w:t>
      </w:r>
      <w:r>
        <w:rPr>
          <w:rFonts w:ascii="Courier New" w:cs="Courier New" w:eastAsia="Courier New" w:hAnsi="Courier New"/>
          <w:sz w:val="22"/>
          <w:szCs w:val="22"/>
        </w:rPr>
        <w:t xml:space="preserve">display:none</w:t>
      </w:r>
      <w:r>
        <w:rPr>
          <w:sz w:val="22"/>
          <w:szCs w:val="22"/>
        </w:rPr>
        <w:t xml:space="preserve">, </w:t>
      </w:r>
      <w:r>
        <w:rPr>
          <w:rFonts w:ascii="Courier New" w:cs="Courier New" w:eastAsia="Courier New" w:hAnsi="Courier New"/>
          <w:sz w:val="22"/>
          <w:szCs w:val="22"/>
        </w:rPr>
        <w:t xml:space="preserve">visibility:hidden</w:t>
      </w:r>
      <w:r>
        <w:rPr>
          <w:sz w:val="22"/>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200"/>
      </w:pPr>
      <w:r>
        <w:rPr>
          <w:sz w:val="24"/>
          <w:szCs w:val="24"/>
        </w:rPr>
        <w:t xml:space="preserve">3.4 Contrast calculation and cross-validation</w:t>
      </w:r>
    </w:p>
    <w:p>
      <w:pPr>
        <w:spacing w:after="200"/>
      </w:pPr>
      <w:r>
        <w:rPr>
          <w:sz w:val="22"/>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Courier New" w:cs="Courier New" w:eastAsia="Courier New" w:hAnsi="Courier New"/>
          <w:sz w:val="22"/>
          <w:szCs w:val="22"/>
        </w:rPr>
        <w:t xml:space="preserve">axe-core</w:t>
      </w:r>
      <w:r>
        <w:rPr>
          <w:sz w:val="22"/>
          <w:szCs w:val="22"/>
        </w:rPr>
        <w:t xml:space="preserve"> accessibility engine (the library underlying most commercial accessibility linters) against the same live page and recorded its color-contrast violation and pass counts.</w:t>
      </w:r>
    </w:p>
    <w:p>
      <w:pPr>
        <w:spacing w:after="200"/>
      </w:pPr>
      <w:r>
        <w:rPr>
          <w:sz w:val="24"/>
          <w:szCs w:val="24"/>
        </w:rPr>
        <w:t xml:space="preserve">3.5 Classification and aggregation</w:t>
      </w:r>
    </w:p>
    <w:p>
      <w:pPr>
        <w:spacing w:after="200"/>
      </w:pPr>
      <w:r>
        <w:rPr>
          <w:sz w:val="22"/>
          <w:szCs w:val="22"/>
        </w:rPr>
        <w:t xml:space="preserve">Following WCAG 2.2, each pair was classified as </w:t>
      </w:r>
      <w:r>
        <w:rPr>
          <w:sz w:val="22"/>
          <w:szCs w:val="22"/>
        </w:rPr>
        <w:t xml:space="preserve">fail</w:t>
      </w:r>
      <w:r>
        <w:rPr>
          <w:sz w:val="22"/>
          <w:szCs w:val="22"/>
        </w:rPr>
        <w:t xml:space="preserve">, </w:t>
      </w:r>
      <w:r>
        <w:rPr>
          <w:sz w:val="22"/>
          <w:szCs w:val="22"/>
        </w:rPr>
        <w:t xml:space="preserve">AA</w:t>
      </w:r>
      <w:r>
        <w:rPr>
          <w:sz w:val="22"/>
          <w:szCs w:val="22"/>
        </w:rPr>
        <w:t xml:space="preserve">, or </w:t>
      </w:r>
      <w:r>
        <w:rPr>
          <w:sz w:val="22"/>
          <w:szCs w:val="22"/>
        </w:rPr>
        <w:t xml:space="preserve">AAA</w:t>
      </w:r>
      <w:r>
        <w:rPr>
          <w:sz w:val="22"/>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200"/>
      </w:pPr>
      <w:r>
        <w:rPr>
          <w:sz w:val="24"/>
          <w:szCs w:val="24"/>
        </w:rPr>
        <w:t xml:space="preserve">3.6 Statistical analysis</w:t>
      </w:r>
    </w:p>
    <w:p>
      <w:pPr>
        <w:spacing w:after="200"/>
      </w:pPr>
      <w:r>
        <w:rPr>
          <w:sz w:val="22"/>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repeat it with site-clustered robust standard errors (generalized estimating equations, independence working correlation, clustered by site) to check which effects survive proper clustering rather than only the country effect. We clustered the failing pairs' text-color coordinates in the full, standardized CIELAB L∗a∗b∗ space with k-means, rather than the a∗b∗ chroma plane alone, since WCAG failure is a function of luminance and a chroma-only clustering would place every achromatic color at the origin regardless of lightness; we searched k ∈ {2,…,20} for a silhouette-optimal solution before fixing k = 6 for interpretability (Results).</w:t>
      </w:r>
    </w:p>
    <w:p>
      <w:pPr>
        <w:pStyle w:val="Heading1"/>
        <w:spacing w:after="150" w:before="300"/>
      </w:pPr>
      <w:r>
        <w:t xml:space="preserve">4.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r>
              <w:rPr>
                <w:b/>
                <w:bCs/>
                <w:sz w:val="20"/>
                <w:szCs w:val="20"/>
              </w:rPr>
              <w:t xml:space="preserve">Outcome</w:t>
            </w:r>
          </w:p>
        </w:tc>
        <w:tc>
          <w:tcPr>
            <w:tcW w:type="dxa" w:w="1800"/>
            <w:shd w:fill="D9D9D9" w:color="auto" w:val="clear"/>
          </w:tcPr>
          <w:p>
            <w:r>
              <w:rPr>
                <w:b/>
                <w:bCs/>
                <w:sz w:val="20"/>
                <w:szCs w:val="20"/>
              </w:rPr>
              <w:t xml:space="preserve">Count</w:t>
            </w:r>
          </w:p>
        </w:tc>
      </w:tr>
      <w:tr>
        <w:tc>
          <w:tcPr>
            <w:tcW w:type="dxa" w:w="7200"/>
          </w:tcPr>
          <w:p>
            <w:r>
              <w:rPr>
                <w:sz w:val="20"/>
                <w:szCs w:val="20"/>
              </w:rPr>
              <w:t xml:space="preserve">Successfully rendered</w:t>
            </w:r>
          </w:p>
        </w:tc>
        <w:tc>
          <w:tcPr>
            <w:tcW w:type="dxa" w:w="1800"/>
          </w:tcPr>
          <w:p>
            <w:r>
              <w:rPr>
                <w:sz w:val="20"/>
                <w:szCs w:val="20"/>
              </w:rPr>
              <w:t xml:space="preserve">278</w:t>
            </w:r>
          </w:p>
        </w:tc>
      </w:tr>
      <w:tr>
        <w:tc>
          <w:tcPr>
            <w:tcW w:type="dxa" w:w="7200"/>
          </w:tcPr>
          <w:p>
            <w:r>
              <w:rPr>
                <w:sz w:val="20"/>
                <w:szCs w:val="20"/>
              </w:rPr>
              <w:t xml:space="preserve">Unreachable / timed out / other error</w:t>
            </w:r>
          </w:p>
        </w:tc>
        <w:tc>
          <w:tcPr>
            <w:tcW w:type="dxa" w:w="1800"/>
          </w:tcPr>
          <w:p>
            <w:r>
              <w:rPr>
                <w:sz w:val="20"/>
                <w:szCs w:val="20"/>
              </w:rPr>
              <w:t xml:space="preserve">167</w:t>
            </w:r>
          </w:p>
        </w:tc>
      </w:tr>
      <w:tr>
        <w:tc>
          <w:tcPr>
            <w:tcW w:type="dxa" w:w="7200"/>
          </w:tcPr>
          <w:p>
            <w:r>
              <w:rPr>
                <w:sz w:val="20"/>
                <w:szCs w:val="20"/>
              </w:rPr>
              <w:t xml:space="preserve">Excluded by robots.txt</w:t>
            </w:r>
          </w:p>
        </w:tc>
        <w:tc>
          <w:tcPr>
            <w:tcW w:type="dxa" w:w="1800"/>
          </w:tcPr>
          <w:p>
            <w:r>
              <w:rPr>
                <w:sz w:val="20"/>
                <w:szCs w:val="20"/>
              </w:rPr>
              <w:t xml:space="preserve">19</w:t>
            </w:r>
          </w:p>
        </w:tc>
      </w:tr>
    </w:tbl>
    <w:p>
      <w:pPr>
        <w:spacing w:after="300" w:before="100"/>
      </w:pPr>
      <w:r>
        <w:rPr>
          <w:b w:val="false"/>
          <w:bCs w:val="false"/>
          <w:i/>
          <w:iCs/>
          <w:sz w:val="18"/>
          <w:szCs w:val="18"/>
        </w:rPr>
        <w:t xml:space="preserve">Table 1. Crawl outcomes for the 464 sampled domains.</w:t>
      </w:r>
    </w:p>
    <w:p>
      <w:pPr>
        <w:spacing w:after="200"/>
      </w:pPr>
      <w:r>
        <w:rPr>
          <w:sz w:val="22"/>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p>
      <w:pPr>
        <w:spacing w:after="100" w:before="200"/>
        <w:jc w:val="center"/>
      </w:pPr>
      <w: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300" w:before="100"/>
      </w:pPr>
      <w:r>
        <w:rPr>
          <w:b w:val="false"/>
          <w:bCs w:val="false"/>
          <w:i/>
          <w:iCs/>
          <w:sz w:val="18"/>
          <w:szCs w:val="18"/>
        </w:rPr>
        <w:t xml:space="preserve">Figure 1. Distribution of WCAG contrast ratios across the 41,360 extracted color pairs, with the AA and AAA thresholds marked.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75"/>
        <w:gridCol w:w="1125"/>
        <w:gridCol w:w="2250"/>
        <w:gridCol w:w="2250"/>
      </w:tblGrid>
      <w:tr>
        <w:trPr>
          <w:tblHeader/>
        </w:trPr>
        <w:tc>
          <w:tcPr>
            <w:tcW w:type="dxa" w:w="3375"/>
            <w:shd w:fill="D9D9D9" w:color="auto" w:val="clear"/>
          </w:tcPr>
          <w:p>
            <w:r>
              <w:rPr>
                <w:b/>
                <w:bCs/>
                <w:sz w:val="20"/>
                <w:szCs w:val="20"/>
              </w:rPr>
              <w:t xml:space="preserve">Country</w:t>
            </w:r>
          </w:p>
        </w:tc>
        <w:tc>
          <w:tcPr>
            <w:tcW w:type="dxa" w:w="1125"/>
            <w:shd w:fill="D9D9D9" w:color="auto" w:val="clear"/>
          </w:tcPr>
          <w:p>
            <w:r>
              <w:rPr>
                <w:b/>
                <w:bCs/>
                <w:sz w:val="20"/>
                <w:szCs w:val="20"/>
              </w:rPr>
              <w:t xml:space="preserve">Sites</w:t>
            </w:r>
          </w:p>
        </w:tc>
        <w:tc>
          <w:tcPr>
            <w:tcW w:type="dxa" w:w="2250"/>
            <w:shd w:fill="D9D9D9" w:color="auto" w:val="clear"/>
          </w:tcPr>
          <w:p>
            <w:r>
              <w:rPr>
                <w:b/>
                <w:bCs/>
                <w:sz w:val="20"/>
                <w:szCs w:val="20"/>
              </w:rPr>
              <w:t xml:space="preserve">Median % AA-fail</w:t>
            </w:r>
          </w:p>
        </w:tc>
        <w:tc>
          <w:tcPr>
            <w:tcW w:type="dxa" w:w="2250"/>
            <w:shd w:fill="D9D9D9" w:color="auto" w:val="clear"/>
          </w:tcPr>
          <w:p>
            <w:r>
              <w:rPr>
                <w:b/>
                <w:bCs/>
                <w:sz w:val="20"/>
                <w:szCs w:val="20"/>
              </w:rPr>
              <w:t xml:space="preserve">% sites, ≥1 critical fail</w:t>
            </w:r>
          </w:p>
        </w:tc>
      </w:tr>
      <w:tr>
        <w:tc>
          <w:tcPr>
            <w:tcW w:type="dxa" w:w="3375"/>
          </w:tcPr>
          <w:p>
            <w:r>
              <w:rPr>
                <w:sz w:val="20"/>
                <w:szCs w:val="20"/>
              </w:rPr>
              <w:t xml:space="preserve">Argentina</w:t>
            </w:r>
          </w:p>
        </w:tc>
        <w:tc>
          <w:tcPr>
            <w:tcW w:type="dxa" w:w="1125"/>
          </w:tcPr>
          <w:p>
            <w:r>
              <w:rPr>
                <w:sz w:val="20"/>
                <w:szCs w:val="20"/>
              </w:rPr>
              <w:t xml:space="preserve">27</w:t>
            </w:r>
          </w:p>
        </w:tc>
        <w:tc>
          <w:tcPr>
            <w:tcW w:type="dxa" w:w="2250"/>
          </w:tcPr>
          <w:p>
            <w:r>
              <w:rPr>
                <w:sz w:val="20"/>
                <w:szCs w:val="20"/>
              </w:rPr>
              <w:t xml:space="preserve">22.0</w:t>
            </w:r>
          </w:p>
        </w:tc>
        <w:tc>
          <w:tcPr>
            <w:tcW w:type="dxa" w:w="2250"/>
          </w:tcPr>
          <w:p>
            <w:r>
              <w:rPr>
                <w:sz w:val="20"/>
                <w:szCs w:val="20"/>
              </w:rPr>
              <w:t xml:space="preserve">96.3</w:t>
            </w:r>
          </w:p>
        </w:tc>
      </w:tr>
      <w:tr>
        <w:tc>
          <w:tcPr>
            <w:tcW w:type="dxa" w:w="3375"/>
          </w:tcPr>
          <w:p>
            <w:r>
              <w:rPr>
                <w:sz w:val="20"/>
                <w:szCs w:val="20"/>
              </w:rPr>
              <w:t xml:space="preserve">Chile</w:t>
            </w:r>
          </w:p>
        </w:tc>
        <w:tc>
          <w:tcPr>
            <w:tcW w:type="dxa" w:w="1125"/>
          </w:tcPr>
          <w:p>
            <w:r>
              <w:rPr>
                <w:sz w:val="20"/>
                <w:szCs w:val="20"/>
              </w:rPr>
              <w:t xml:space="preserve">27</w:t>
            </w:r>
          </w:p>
        </w:tc>
        <w:tc>
          <w:tcPr>
            <w:tcW w:type="dxa" w:w="2250"/>
          </w:tcPr>
          <w:p>
            <w:r>
              <w:rPr>
                <w:sz w:val="20"/>
                <w:szCs w:val="20"/>
              </w:rPr>
              <w:t xml:space="preserve">15.0</w:t>
            </w:r>
          </w:p>
        </w:tc>
        <w:tc>
          <w:tcPr>
            <w:tcW w:type="dxa" w:w="2250"/>
          </w:tcPr>
          <w:p>
            <w:r>
              <w:rPr>
                <w:sz w:val="20"/>
                <w:szCs w:val="20"/>
              </w:rPr>
              <w:t xml:space="preserve">96.3</w:t>
            </w:r>
          </w:p>
        </w:tc>
      </w:tr>
      <w:tr>
        <w:tc>
          <w:tcPr>
            <w:tcW w:type="dxa" w:w="3375"/>
          </w:tcPr>
          <w:p>
            <w:r>
              <w:rPr>
                <w:sz w:val="20"/>
                <w:szCs w:val="20"/>
              </w:rPr>
              <w:t xml:space="preserve">Brazil</w:t>
            </w:r>
          </w:p>
        </w:tc>
        <w:tc>
          <w:tcPr>
            <w:tcW w:type="dxa" w:w="1125"/>
          </w:tcPr>
          <w:p>
            <w:r>
              <w:rPr>
                <w:sz w:val="20"/>
                <w:szCs w:val="20"/>
              </w:rPr>
              <w:t xml:space="preserve">26</w:t>
            </w:r>
          </w:p>
        </w:tc>
        <w:tc>
          <w:tcPr>
            <w:tcW w:type="dxa" w:w="2250"/>
          </w:tcPr>
          <w:p>
            <w:r>
              <w:rPr>
                <w:sz w:val="20"/>
                <w:szCs w:val="20"/>
              </w:rPr>
              <w:t xml:space="preserve">12.4</w:t>
            </w:r>
          </w:p>
        </w:tc>
        <w:tc>
          <w:tcPr>
            <w:tcW w:type="dxa" w:w="2250"/>
          </w:tcPr>
          <w:p>
            <w:r>
              <w:rPr>
                <w:sz w:val="20"/>
                <w:szCs w:val="20"/>
              </w:rPr>
              <w:t xml:space="preserve">92.3</w:t>
            </w:r>
          </w:p>
        </w:tc>
      </w:tr>
      <w:tr>
        <w:tc>
          <w:tcPr>
            <w:tcW w:type="dxa" w:w="3375"/>
          </w:tcPr>
          <w:p>
            <w:r>
              <w:rPr>
                <w:sz w:val="20"/>
                <w:szCs w:val="20"/>
              </w:rPr>
              <w:t xml:space="preserve">Colombia</w:t>
            </w:r>
          </w:p>
        </w:tc>
        <w:tc>
          <w:tcPr>
            <w:tcW w:type="dxa" w:w="1125"/>
          </w:tcPr>
          <w:p>
            <w:r>
              <w:rPr>
                <w:sz w:val="20"/>
                <w:szCs w:val="20"/>
              </w:rPr>
              <w:t xml:space="preserve">26</w:t>
            </w:r>
          </w:p>
        </w:tc>
        <w:tc>
          <w:tcPr>
            <w:tcW w:type="dxa" w:w="2250"/>
          </w:tcPr>
          <w:p>
            <w:r>
              <w:rPr>
                <w:sz w:val="20"/>
                <w:szCs w:val="20"/>
              </w:rPr>
              <w:t xml:space="preserve">19.0</w:t>
            </w:r>
          </w:p>
        </w:tc>
        <w:tc>
          <w:tcPr>
            <w:tcW w:type="dxa" w:w="2250"/>
          </w:tcPr>
          <w:p>
            <w:r>
              <w:rPr>
                <w:sz w:val="20"/>
                <w:szCs w:val="20"/>
              </w:rPr>
              <w:t xml:space="preserve">100.0</w:t>
            </w:r>
          </w:p>
        </w:tc>
      </w:tr>
      <w:tr>
        <w:tc>
          <w:tcPr>
            <w:tcW w:type="dxa" w:w="3375"/>
          </w:tcPr>
          <w:p>
            <w:r>
              <w:rPr>
                <w:sz w:val="20"/>
                <w:szCs w:val="20"/>
              </w:rPr>
              <w:t xml:space="preserve">Ecuador</w:t>
            </w:r>
          </w:p>
        </w:tc>
        <w:tc>
          <w:tcPr>
            <w:tcW w:type="dxa" w:w="1125"/>
          </w:tcPr>
          <w:p>
            <w:r>
              <w:rPr>
                <w:sz w:val="20"/>
                <w:szCs w:val="20"/>
              </w:rPr>
              <w:t xml:space="preserve">24</w:t>
            </w:r>
          </w:p>
        </w:tc>
        <w:tc>
          <w:tcPr>
            <w:tcW w:type="dxa" w:w="2250"/>
          </w:tcPr>
          <w:p>
            <w:r>
              <w:rPr>
                <w:sz w:val="20"/>
                <w:szCs w:val="20"/>
              </w:rPr>
              <w:t xml:space="preserve">20.1</w:t>
            </w:r>
          </w:p>
        </w:tc>
        <w:tc>
          <w:tcPr>
            <w:tcW w:type="dxa" w:w="2250"/>
          </w:tcPr>
          <w:p>
            <w:r>
              <w:rPr>
                <w:sz w:val="20"/>
                <w:szCs w:val="20"/>
              </w:rPr>
              <w:t xml:space="preserve">91.7</w:t>
            </w:r>
          </w:p>
        </w:tc>
      </w:tr>
      <w:tr>
        <w:tc>
          <w:tcPr>
            <w:tcW w:type="dxa" w:w="3375"/>
          </w:tcPr>
          <w:p>
            <w:r>
              <w:rPr>
                <w:sz w:val="20"/>
                <w:szCs w:val="20"/>
              </w:rPr>
              <w:t xml:space="preserve">Peru</w:t>
            </w:r>
          </w:p>
        </w:tc>
        <w:tc>
          <w:tcPr>
            <w:tcW w:type="dxa" w:w="1125"/>
          </w:tcPr>
          <w:p>
            <w:r>
              <w:rPr>
                <w:sz w:val="20"/>
                <w:szCs w:val="20"/>
              </w:rPr>
              <w:t xml:space="preserve">21</w:t>
            </w:r>
          </w:p>
        </w:tc>
        <w:tc>
          <w:tcPr>
            <w:tcW w:type="dxa" w:w="2250"/>
          </w:tcPr>
          <w:p>
            <w:r>
              <w:rPr>
                <w:sz w:val="20"/>
                <w:szCs w:val="20"/>
              </w:rPr>
              <w:t xml:space="preserve">25.4</w:t>
            </w:r>
          </w:p>
        </w:tc>
        <w:tc>
          <w:tcPr>
            <w:tcW w:type="dxa" w:w="2250"/>
          </w:tcPr>
          <w:p>
            <w:r>
              <w:rPr>
                <w:sz w:val="20"/>
                <w:szCs w:val="20"/>
              </w:rPr>
              <w:t xml:space="preserve">81.0</w:t>
            </w:r>
          </w:p>
        </w:tc>
      </w:tr>
      <w:tr>
        <w:tc>
          <w:tcPr>
            <w:tcW w:type="dxa" w:w="3375"/>
          </w:tcPr>
          <w:p>
            <w:r>
              <w:rPr>
                <w:sz w:val="20"/>
                <w:szCs w:val="20"/>
              </w:rPr>
              <w:t xml:space="preserve">Costa Rica</w:t>
            </w:r>
          </w:p>
        </w:tc>
        <w:tc>
          <w:tcPr>
            <w:tcW w:type="dxa" w:w="1125"/>
          </w:tcPr>
          <w:p>
            <w:r>
              <w:rPr>
                <w:sz w:val="20"/>
                <w:szCs w:val="20"/>
              </w:rPr>
              <w:t xml:space="preserve">19</w:t>
            </w:r>
          </w:p>
        </w:tc>
        <w:tc>
          <w:tcPr>
            <w:tcW w:type="dxa" w:w="2250"/>
          </w:tcPr>
          <w:p>
            <w:r>
              <w:rPr>
                <w:sz w:val="20"/>
                <w:szCs w:val="20"/>
              </w:rPr>
              <w:t xml:space="preserve">24.0</w:t>
            </w:r>
          </w:p>
        </w:tc>
        <w:tc>
          <w:tcPr>
            <w:tcW w:type="dxa" w:w="2250"/>
          </w:tcPr>
          <w:p>
            <w:r>
              <w:rPr>
                <w:sz w:val="20"/>
                <w:szCs w:val="20"/>
              </w:rPr>
              <w:t xml:space="preserve">94.7</w:t>
            </w:r>
          </w:p>
        </w:tc>
      </w:tr>
      <w:tr>
        <w:tc>
          <w:tcPr>
            <w:tcW w:type="dxa" w:w="3375"/>
          </w:tcPr>
          <w:p>
            <w:r>
              <w:rPr>
                <w:sz w:val="20"/>
                <w:szCs w:val="20"/>
              </w:rPr>
              <w:t xml:space="preserve">Mexico</w:t>
            </w:r>
          </w:p>
        </w:tc>
        <w:tc>
          <w:tcPr>
            <w:tcW w:type="dxa" w:w="1125"/>
          </w:tcPr>
          <w:p>
            <w:r>
              <w:rPr>
                <w:sz w:val="20"/>
                <w:szCs w:val="20"/>
              </w:rPr>
              <w:t xml:space="preserve">15</w:t>
            </w:r>
          </w:p>
        </w:tc>
        <w:tc>
          <w:tcPr>
            <w:tcW w:type="dxa" w:w="2250"/>
          </w:tcPr>
          <w:p>
            <w:r>
              <w:rPr>
                <w:sz w:val="20"/>
                <w:szCs w:val="20"/>
              </w:rPr>
              <w:t xml:space="preserve">9.0</w:t>
            </w:r>
          </w:p>
        </w:tc>
        <w:tc>
          <w:tcPr>
            <w:tcW w:type="dxa" w:w="2250"/>
          </w:tcPr>
          <w:p>
            <w:r>
              <w:rPr>
                <w:sz w:val="20"/>
                <w:szCs w:val="20"/>
              </w:rPr>
              <w:t xml:space="preserve">73.3</w:t>
            </w:r>
          </w:p>
        </w:tc>
      </w:tr>
      <w:tr>
        <w:tc>
          <w:tcPr>
            <w:tcW w:type="dxa" w:w="3375"/>
          </w:tcPr>
          <w:p>
            <w:r>
              <w:rPr>
                <w:sz w:val="20"/>
                <w:szCs w:val="20"/>
              </w:rPr>
              <w:t xml:space="preserve">Dominican Republic</w:t>
            </w:r>
          </w:p>
        </w:tc>
        <w:tc>
          <w:tcPr>
            <w:tcW w:type="dxa" w:w="1125"/>
          </w:tcPr>
          <w:p>
            <w:r>
              <w:rPr>
                <w:sz w:val="20"/>
                <w:szCs w:val="20"/>
              </w:rPr>
              <w:t xml:space="preserve">15</w:t>
            </w:r>
          </w:p>
        </w:tc>
        <w:tc>
          <w:tcPr>
            <w:tcW w:type="dxa" w:w="2250"/>
          </w:tcPr>
          <w:p>
            <w:r>
              <w:rPr>
                <w:sz w:val="20"/>
                <w:szCs w:val="20"/>
              </w:rPr>
              <w:t xml:space="preserve">33.6</w:t>
            </w:r>
          </w:p>
        </w:tc>
        <w:tc>
          <w:tcPr>
            <w:tcW w:type="dxa" w:w="2250"/>
          </w:tcPr>
          <w:p>
            <w:r>
              <w:rPr>
                <w:sz w:val="20"/>
                <w:szCs w:val="20"/>
              </w:rPr>
              <w:t xml:space="preserve">100.0</w:t>
            </w:r>
          </w:p>
        </w:tc>
      </w:tr>
      <w:tr>
        <w:tc>
          <w:tcPr>
            <w:tcW w:type="dxa" w:w="3375"/>
          </w:tcPr>
          <w:p>
            <w:r>
              <w:rPr>
                <w:sz w:val="20"/>
                <w:szCs w:val="20"/>
              </w:rPr>
              <w:t xml:space="preserve">El Salvador</w:t>
            </w:r>
          </w:p>
        </w:tc>
        <w:tc>
          <w:tcPr>
            <w:tcW w:type="dxa" w:w="1125"/>
          </w:tcPr>
          <w:p>
            <w:r>
              <w:rPr>
                <w:sz w:val="20"/>
                <w:szCs w:val="20"/>
              </w:rPr>
              <w:t xml:space="preserve">13</w:t>
            </w:r>
          </w:p>
        </w:tc>
        <w:tc>
          <w:tcPr>
            <w:tcW w:type="dxa" w:w="2250"/>
          </w:tcPr>
          <w:p>
            <w:r>
              <w:rPr>
                <w:sz w:val="20"/>
                <w:szCs w:val="20"/>
              </w:rPr>
              <w:t xml:space="preserve">15.5</w:t>
            </w:r>
          </w:p>
        </w:tc>
        <w:tc>
          <w:tcPr>
            <w:tcW w:type="dxa" w:w="2250"/>
          </w:tcPr>
          <w:p>
            <w:r>
              <w:rPr>
                <w:sz w:val="20"/>
                <w:szCs w:val="20"/>
              </w:rPr>
              <w:t xml:space="preserve">100.0</w:t>
            </w:r>
          </w:p>
        </w:tc>
      </w:tr>
      <w:tr>
        <w:tc>
          <w:tcPr>
            <w:tcW w:type="dxa" w:w="3375"/>
          </w:tcPr>
          <w:p>
            <w:r>
              <w:rPr>
                <w:sz w:val="20"/>
                <w:szCs w:val="20"/>
              </w:rPr>
              <w:t xml:space="preserve">Guatemala</w:t>
            </w:r>
          </w:p>
        </w:tc>
        <w:tc>
          <w:tcPr>
            <w:tcW w:type="dxa" w:w="1125"/>
          </w:tcPr>
          <w:p>
            <w:r>
              <w:rPr>
                <w:sz w:val="20"/>
                <w:szCs w:val="20"/>
              </w:rPr>
              <w:t xml:space="preserve">10</w:t>
            </w:r>
          </w:p>
        </w:tc>
        <w:tc>
          <w:tcPr>
            <w:tcW w:type="dxa" w:w="2250"/>
          </w:tcPr>
          <w:p>
            <w:r>
              <w:rPr>
                <w:sz w:val="20"/>
                <w:szCs w:val="20"/>
              </w:rPr>
              <w:t xml:space="preserve">22.3</w:t>
            </w:r>
          </w:p>
        </w:tc>
        <w:tc>
          <w:tcPr>
            <w:tcW w:type="dxa" w:w="2250"/>
          </w:tcPr>
          <w:p>
            <w:r>
              <w:rPr>
                <w:sz w:val="20"/>
                <w:szCs w:val="20"/>
              </w:rPr>
              <w:t xml:space="preserve">100.0</w:t>
            </w:r>
          </w:p>
        </w:tc>
      </w:tr>
      <w:tr>
        <w:tc>
          <w:tcPr>
            <w:tcW w:type="dxa" w:w="3375"/>
          </w:tcPr>
          <w:p>
            <w:r>
              <w:rPr>
                <w:sz w:val="20"/>
                <w:szCs w:val="20"/>
              </w:rPr>
              <w:t xml:space="preserve">Nicaragua</w:t>
            </w:r>
          </w:p>
        </w:tc>
        <w:tc>
          <w:tcPr>
            <w:tcW w:type="dxa" w:w="1125"/>
          </w:tcPr>
          <w:p>
            <w:r>
              <w:rPr>
                <w:sz w:val="20"/>
                <w:szCs w:val="20"/>
              </w:rPr>
              <w:t xml:space="preserve">9</w:t>
            </w:r>
          </w:p>
        </w:tc>
        <w:tc>
          <w:tcPr>
            <w:tcW w:type="dxa" w:w="2250"/>
          </w:tcPr>
          <w:p>
            <w:r>
              <w:rPr>
                <w:sz w:val="20"/>
                <w:szCs w:val="20"/>
              </w:rPr>
              <w:t xml:space="preserve">33.3</w:t>
            </w:r>
          </w:p>
        </w:tc>
        <w:tc>
          <w:tcPr>
            <w:tcW w:type="dxa" w:w="2250"/>
          </w:tcPr>
          <w:p>
            <w:r>
              <w:rPr>
                <w:sz w:val="20"/>
                <w:szCs w:val="20"/>
              </w:rPr>
              <w:t xml:space="preserve">88.9</w:t>
            </w:r>
          </w:p>
        </w:tc>
      </w:tr>
      <w:tr>
        <w:tc>
          <w:tcPr>
            <w:tcW w:type="dxa" w:w="3375"/>
          </w:tcPr>
          <w:p>
            <w:r>
              <w:rPr>
                <w:sz w:val="20"/>
                <w:szCs w:val="20"/>
              </w:rPr>
              <w:t xml:space="preserve">Panama</w:t>
            </w:r>
          </w:p>
        </w:tc>
        <w:tc>
          <w:tcPr>
            <w:tcW w:type="dxa" w:w="1125"/>
          </w:tcPr>
          <w:p>
            <w:r>
              <w:rPr>
                <w:sz w:val="20"/>
                <w:szCs w:val="20"/>
              </w:rPr>
              <w:t xml:space="preserve">7</w:t>
            </w:r>
          </w:p>
        </w:tc>
        <w:tc>
          <w:tcPr>
            <w:tcW w:type="dxa" w:w="2250"/>
          </w:tcPr>
          <w:p>
            <w:r>
              <w:rPr>
                <w:sz w:val="20"/>
                <w:szCs w:val="20"/>
              </w:rPr>
              <w:t xml:space="preserve">14.3</w:t>
            </w:r>
          </w:p>
        </w:tc>
        <w:tc>
          <w:tcPr>
            <w:tcW w:type="dxa" w:w="2250"/>
          </w:tcPr>
          <w:p>
            <w:r>
              <w:rPr>
                <w:sz w:val="20"/>
                <w:szCs w:val="20"/>
              </w:rPr>
              <w:t xml:space="preserve">100.0</w:t>
            </w:r>
          </w:p>
        </w:tc>
      </w:tr>
      <w:tr>
        <w:tc>
          <w:tcPr>
            <w:tcW w:type="dxa" w:w="3375"/>
          </w:tcPr>
          <w:p>
            <w:r>
              <w:rPr>
                <w:sz w:val="20"/>
                <w:szCs w:val="20"/>
              </w:rPr>
              <w:t xml:space="preserve">Cuba</w:t>
            </w:r>
          </w:p>
        </w:tc>
        <w:tc>
          <w:tcPr>
            <w:tcW w:type="dxa" w:w="1125"/>
          </w:tcPr>
          <w:p>
            <w:r>
              <w:rPr>
                <w:sz w:val="20"/>
                <w:szCs w:val="20"/>
              </w:rPr>
              <w:t xml:space="preserve">6</w:t>
            </w:r>
          </w:p>
        </w:tc>
        <w:tc>
          <w:tcPr>
            <w:tcW w:type="dxa" w:w="2250"/>
          </w:tcPr>
          <w:p>
            <w:r>
              <w:rPr>
                <w:sz w:val="20"/>
                <w:szCs w:val="20"/>
              </w:rPr>
              <w:t xml:space="preserve">31.6</w:t>
            </w:r>
          </w:p>
        </w:tc>
        <w:tc>
          <w:tcPr>
            <w:tcW w:type="dxa" w:w="2250"/>
          </w:tcPr>
          <w:p>
            <w:r>
              <w:rPr>
                <w:sz w:val="20"/>
                <w:szCs w:val="20"/>
              </w:rPr>
              <w:t xml:space="preserve">100.0</w:t>
            </w:r>
          </w:p>
        </w:tc>
      </w:tr>
      <w:tr>
        <w:tc>
          <w:tcPr>
            <w:tcW w:type="dxa" w:w="3375"/>
          </w:tcPr>
          <w:p>
            <w:r>
              <w:rPr>
                <w:sz w:val="20"/>
                <w:szCs w:val="20"/>
              </w:rPr>
              <w:t xml:space="preserve">Honduras</w:t>
            </w:r>
          </w:p>
        </w:tc>
        <w:tc>
          <w:tcPr>
            <w:tcW w:type="dxa" w:w="1125"/>
          </w:tcPr>
          <w:p>
            <w:r>
              <w:rPr>
                <w:sz w:val="20"/>
                <w:szCs w:val="20"/>
              </w:rPr>
              <w:t xml:space="preserve">6</w:t>
            </w:r>
          </w:p>
        </w:tc>
        <w:tc>
          <w:tcPr>
            <w:tcW w:type="dxa" w:w="2250"/>
          </w:tcPr>
          <w:p>
            <w:r>
              <w:rPr>
                <w:sz w:val="20"/>
                <w:szCs w:val="20"/>
              </w:rPr>
              <w:t xml:space="preserve">22.9</w:t>
            </w:r>
          </w:p>
        </w:tc>
        <w:tc>
          <w:tcPr>
            <w:tcW w:type="dxa" w:w="2250"/>
          </w:tcPr>
          <w:p>
            <w:r>
              <w:rPr>
                <w:sz w:val="20"/>
                <w:szCs w:val="20"/>
              </w:rPr>
              <w:t xml:space="preserve">83.3</w:t>
            </w:r>
          </w:p>
        </w:tc>
      </w:tr>
      <w:tr>
        <w:tc>
          <w:tcPr>
            <w:tcW w:type="dxa" w:w="3375"/>
          </w:tcPr>
          <w:p>
            <w:r>
              <w:rPr>
                <w:sz w:val="20"/>
                <w:szCs w:val="20"/>
              </w:rPr>
              <w:t xml:space="preserve">Paraguay</w:t>
            </w:r>
          </w:p>
        </w:tc>
        <w:tc>
          <w:tcPr>
            <w:tcW w:type="dxa" w:w="1125"/>
          </w:tcPr>
          <w:p>
            <w:r>
              <w:rPr>
                <w:sz w:val="20"/>
                <w:szCs w:val="20"/>
              </w:rPr>
              <w:t xml:space="preserve">5</w:t>
            </w:r>
          </w:p>
        </w:tc>
        <w:tc>
          <w:tcPr>
            <w:tcW w:type="dxa" w:w="2250"/>
          </w:tcPr>
          <w:p>
            <w:r>
              <w:rPr>
                <w:sz w:val="20"/>
                <w:szCs w:val="20"/>
              </w:rPr>
              <w:t xml:space="preserve">15.6</w:t>
            </w:r>
          </w:p>
        </w:tc>
        <w:tc>
          <w:tcPr>
            <w:tcW w:type="dxa" w:w="2250"/>
          </w:tcPr>
          <w:p>
            <w:r>
              <w:rPr>
                <w:sz w:val="20"/>
                <w:szCs w:val="20"/>
              </w:rPr>
              <w:t xml:space="preserve">100.0</w:t>
            </w:r>
          </w:p>
        </w:tc>
      </w:tr>
    </w:tbl>
    <w:p>
      <w:pPr>
        <w:spacing w:after="300" w:before="100"/>
      </w:pPr>
      <w:r>
        <w:rPr>
          <w:b w:val="false"/>
          <w:bCs w:val="false"/>
          <w:i/>
          <w:iCs/>
          <w:sz w:val="18"/>
          <w:szCs w:val="18"/>
        </w:rPr>
        <w:t xml:space="preserve">Table 2. Descriptive statistics by country (16 countries with ≥5 sites; 256 of 259 sites).</w:t>
      </w:r>
    </w:p>
    <w:p>
      <w:pPr>
        <w:spacing w:after="200"/>
      </w:pPr>
      <w:r>
        <w:rPr>
          <w:sz w:val="22"/>
          <w:szCs w:val="22"/>
        </w:rPr>
        <w:t xml:space="preserve">Table 2 gives descriptive statistics by country before turning to the significance question. 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sz w:val="22"/>
          <w:szCs w:val="22"/>
        </w:rPr>
        <w:t xml:space="preserve">not</w:t>
      </w:r>
      <w:r>
        <w:rPr>
          <w:sz w:val="22"/>
          <w:szCs w:val="22"/>
        </w:rPr>
        <w:t xml:space="preserve"> significant either on critical-failure status (χ² = 22.98, df = 15, p = 0.085) or on continuous %AA-failure (Kruskal-Wallis H = 21.53, p = 0.121). Because the site-level critical-failure rate is high (most countries have few or no compliant sites), several cells of the country x failure contingency table have an expected count well below the conventional rule-of-thumb minimum of 5 for the chi-squared approximation to be reliable (minimum expected count = 0.33); as a robustness check we therefore also ran a 10,000-iteration Monte Carlo permutation test (shuffling critical-failure status across sites within the same country distribution and recomputing chi-squared each time), which agrees closely with the asymptotic result (p = 0.081), so this is not an artifact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 “large text” varies within a site (a single page mixes body and heading sizes) its effect would not be vulnerable to the same between-site clustering concern. This expectation does not survive a direct check: refitting the logistic regression with site-clustered robust standard errors (a generalized estimating equations specification, independence working correlation, clustered by site) rather than pooled naive ones leaves the large-text coefficient unchanged in size (β = −0.10) but no longer significant (p = 0.473, versus p = 0.022 pooled), so we do not treat it as a reliable finding. Raw font size in pixels fares better: it retains a significant, though far more modest, </w:t>
      </w:r>
      <w:r>
        <w:rPr>
          <w:sz w:val="22"/>
          <w:szCs w:val="22"/>
        </w:rPr>
        <w:t xml:space="preserve">positive</w:t>
      </w:r>
      <w:r>
        <w:rPr>
          <w:sz w:val="22"/>
          <w:szCs w:val="22"/>
        </w:rPr>
        <w:t xml:space="preserve"> association with failure under the same clustered specification (β = +0.0108, p = 0.027, versus p &lt; 0.001 pooled). Of the two typography variables tested, only continuous font size in pixels survives clustering-robust inference, and only marginally; the categorical large-text effect does not.</w:t>
      </w:r>
    </w:p>
    <w:p>
      <w:pPr>
        <w:spacing w:after="100" w:before="20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300" w:before="100"/>
      </w:pPr>
      <w:r>
        <w:rPr>
          <w:b w:val="false"/>
          <w:bCs w:val="false"/>
          <w:i/>
          <w:iCs/>
          <w:sz w:val="18"/>
          <w:szCs w:val="18"/>
        </w:rPr>
        <w:t xml:space="preserve">Figure 2. AA compliance rate by country, pair-level (descriptive; see main text for why the associated significance test is not treated as confirmatory).</w:t>
      </w:r>
    </w:p>
    <w:p>
      <w:pPr>
        <w:spacing w:after="200"/>
      </w:pPr>
      <w:r>
        <w:rPr>
          <w:sz w:val="22"/>
          <w:szCs w:val="22"/>
        </w:rPr>
        <w:t xml:space="preserve">We clustered the 8,925 failing pairs' text-color coordinates in the full, standardized CIELAB L∗a∗b∗ space with k-means at k = 6 (silhouette = 0.796); we cluster on all three coordinates, not a∗b∗ alone, since WCAG failure is governed by luminance and a chroma-only projection would collapse every achromatic color (black, gray, white) onto the origin regardless of its lightness, which would settle the composition question by construction rather than measure it. We searched silhouette over k ∈ {2,…,20} as a robustness check rather than selecting k by silhouette maximization: the score does not have a clear interior maximum over that range, so we fix k = 6 for interpretability. The resulting partition separates the low-chroma pairs into two clusters at different lightness levels rather than merging them: a near-white cluster (mean L∗ = 99.5, chroma ≈ 0.2, 60.1% of failing pairs) and a mid-gray cluster (mean L∗ = 51.7, chroma ≈ 5.0, 19.9%), together 80.0% of all failing pairs, with four markedly smaller chromatic clusters (4.1% to 6.1% of pairs each, chroma 41.6–78.4) spanning red, blue, yellow-green, and green regions of the plane (Figure 3). The near-white cluster's lightness (L∗ = 99.5, indistinguishable from pure white) is consistent with the background-image detection artifact discussed in Limitations: at least part of this cluster is likely mislabeled text-over-image rather than genuinely near-white text. Agreement between our contrast-ratio-based failure count and </w:t>
      </w:r>
      <w:r>
        <w:rPr>
          <w:rFonts w:ascii="Courier New" w:cs="Courier New" w:eastAsia="Courier New" w:hAnsi="Courier New"/>
          <w:sz w:val="22"/>
          <w:szCs w:val="22"/>
        </w:rPr>
        <w:t xml:space="preserve">axe-core</w:t>
      </w:r>
      <w:r>
        <w:rPr>
          <w:sz w:val="22"/>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2000"/>
        <w:gridCol w:w="2000"/>
      </w:tblGrid>
      <w:tr>
        <w:trPr>
          <w:tblHeader/>
        </w:trPr>
        <w:tc>
          <w:tcPr>
            <w:tcW w:type="dxa" w:w="2000"/>
            <w:shd w:fill="D9D9D9" w:color="auto" w:val="clear"/>
          </w:tcPr>
          <w:p>
            <w:r>
              <w:rPr>
                <w:b/>
                <w:bCs/>
                <w:sz w:val="20"/>
                <w:szCs w:val="20"/>
              </w:rPr>
              <w:t xml:space="preserve">Text (hex)</w:t>
            </w:r>
          </w:p>
        </w:tc>
        <w:tc>
          <w:tcPr>
            <w:tcW w:type="dxa" w:w="2000"/>
            <w:shd w:fill="D9D9D9" w:color="auto" w:val="clear"/>
          </w:tcPr>
          <w:p>
            <w:r>
              <w:rPr>
                <w:b/>
                <w:bCs/>
                <w:sz w:val="20"/>
                <w:szCs w:val="20"/>
              </w:rPr>
              <w:t xml:space="preserve">Background (hex)</w:t>
            </w:r>
          </w:p>
        </w:tc>
        <w:tc>
          <w:tcPr>
            <w:tcW w:type="dxa" w:w="1000"/>
            <w:shd w:fill="D9D9D9" w:color="auto" w:val="clear"/>
          </w:tcPr>
          <w:p>
            <w:r>
              <w:rPr>
                <w:b/>
                <w:bCs/>
                <w:sz w:val="20"/>
                <w:szCs w:val="20"/>
              </w:rPr>
              <w:t xml:space="preserve">n pairs</w:t>
            </w:r>
          </w:p>
        </w:tc>
        <w:tc>
          <w:tcPr>
            <w:tcW w:type="dxa" w:w="2000"/>
            <w:shd w:fill="D9D9D9" w:color="auto" w:val="clear"/>
          </w:tcPr>
          <w:p>
            <w:r>
              <w:rPr>
                <w:b/>
                <w:bCs/>
                <w:sz w:val="20"/>
                <w:szCs w:val="20"/>
              </w:rPr>
              <w:t xml:space="preserve">Ratio (median)</w:t>
            </w:r>
          </w:p>
        </w:tc>
        <w:tc>
          <w:tcPr>
            <w:tcW w:type="dxa" w:w="2000"/>
            <w:shd w:fill="D9D9D9" w:color="auto" w:val="clear"/>
          </w:tcPr>
          <w:p>
            <w:r>
              <w:rPr>
                <w:b/>
                <w:bCs/>
                <w:sz w:val="20"/>
                <w:szCs w:val="20"/>
              </w:rPr>
              <w:t xml:space="preserve">ΔE (median)</w:t>
            </w:r>
          </w:p>
        </w:tc>
      </w:tr>
      <w:tr>
        <w:tc>
          <w:tcPr>
            <w:tcW w:type="dxa" w:w="2000"/>
          </w:tcPr>
          <w:p>
            <w:r>
              <w:rPr>
                <w:sz w:val="20"/>
                <w:szCs w:val="20"/>
              </w:rPr>
              <w:t xml:space="preserve">#FFFFFF</w:t>
            </w:r>
          </w:p>
        </w:tc>
        <w:tc>
          <w:tcPr>
            <w:tcW w:type="dxa" w:w="2000"/>
          </w:tcPr>
          <w:p>
            <w:r>
              <w:rPr>
                <w:sz w:val="20"/>
                <w:szCs w:val="20"/>
              </w:rPr>
              <w:t xml:space="preserve">#FFFFFF</w:t>
            </w:r>
          </w:p>
        </w:tc>
        <w:tc>
          <w:tcPr>
            <w:tcW w:type="dxa" w:w="1000"/>
          </w:tcPr>
          <w:p>
            <w:r>
              <w:rPr>
                <w:sz w:val="20"/>
                <w:szCs w:val="20"/>
              </w:rPr>
              <w:t xml:space="preserve">2,379</w:t>
            </w:r>
          </w:p>
        </w:tc>
        <w:tc>
          <w:tcPr>
            <w:tcW w:type="dxa" w:w="2000"/>
          </w:tcPr>
          <w:p>
            <w:r>
              <w:rPr>
                <w:sz w:val="20"/>
                <w:szCs w:val="20"/>
              </w:rPr>
              <w:t xml:space="preserve">1.00</w:t>
            </w:r>
          </w:p>
        </w:tc>
        <w:tc>
          <w:tcPr>
            <w:tcW w:type="dxa" w:w="2000"/>
          </w:tcPr>
          <w:p>
            <w:r>
              <w:rPr>
                <w:sz w:val="20"/>
                <w:szCs w:val="20"/>
              </w:rPr>
              <w:t xml:space="preserve">0.0</w:t>
            </w:r>
          </w:p>
        </w:tc>
      </w:tr>
      <w:tr>
        <w:tc>
          <w:tcPr>
            <w:tcW w:type="dxa" w:w="2000"/>
          </w:tcPr>
          <w:p>
            <w:r>
              <w:rPr>
                <w:sz w:val="20"/>
                <w:szCs w:val="20"/>
              </w:rPr>
              <w:t xml:space="preserve">#777777</w:t>
            </w:r>
          </w:p>
        </w:tc>
        <w:tc>
          <w:tcPr>
            <w:tcW w:type="dxa" w:w="2000"/>
          </w:tcPr>
          <w:p>
            <w:r>
              <w:rPr>
                <w:sz w:val="20"/>
                <w:szCs w:val="20"/>
              </w:rPr>
              <w:t xml:space="preserve">#FFFFFF</w:t>
            </w:r>
          </w:p>
        </w:tc>
        <w:tc>
          <w:tcPr>
            <w:tcW w:type="dxa" w:w="1000"/>
          </w:tcPr>
          <w:p>
            <w:r>
              <w:rPr>
                <w:sz w:val="20"/>
                <w:szCs w:val="20"/>
              </w:rPr>
              <w:t xml:space="preserve">186</w:t>
            </w:r>
          </w:p>
        </w:tc>
        <w:tc>
          <w:tcPr>
            <w:tcW w:type="dxa" w:w="2000"/>
          </w:tcPr>
          <w:p>
            <w:r>
              <w:rPr>
                <w:sz w:val="20"/>
                <w:szCs w:val="20"/>
              </w:rPr>
              <w:t xml:space="preserve">4.48</w:t>
            </w:r>
          </w:p>
        </w:tc>
        <w:tc>
          <w:tcPr>
            <w:tcW w:type="dxa" w:w="2000"/>
          </w:tcPr>
          <w:p>
            <w:r>
              <w:rPr>
                <w:sz w:val="20"/>
                <w:szCs w:val="20"/>
              </w:rPr>
              <w:t xml:space="preserve">50.0</w:t>
            </w:r>
          </w:p>
        </w:tc>
      </w:tr>
      <w:tr>
        <w:tc>
          <w:tcPr>
            <w:tcW w:type="dxa" w:w="2000"/>
          </w:tcPr>
          <w:p>
            <w:r>
              <w:rPr>
                <w:sz w:val="20"/>
                <w:szCs w:val="20"/>
              </w:rPr>
              <w:t xml:space="preserve">#9F6B6B</w:t>
            </w:r>
          </w:p>
        </w:tc>
        <w:tc>
          <w:tcPr>
            <w:tcW w:type="dxa" w:w="2000"/>
          </w:tcPr>
          <w:p>
            <w:r>
              <w:rPr>
                <w:sz w:val="20"/>
                <w:szCs w:val="20"/>
              </w:rPr>
              <w:t xml:space="preserve">#F2F2F2</w:t>
            </w:r>
          </w:p>
        </w:tc>
        <w:tc>
          <w:tcPr>
            <w:tcW w:type="dxa" w:w="1000"/>
          </w:tcPr>
          <w:p>
            <w:r>
              <w:rPr>
                <w:sz w:val="20"/>
                <w:szCs w:val="20"/>
              </w:rPr>
              <w:t xml:space="preserve">172</w:t>
            </w:r>
          </w:p>
        </w:tc>
        <w:tc>
          <w:tcPr>
            <w:tcW w:type="dxa" w:w="2000"/>
          </w:tcPr>
          <w:p>
            <w:r>
              <w:rPr>
                <w:sz w:val="20"/>
                <w:szCs w:val="20"/>
              </w:rPr>
              <w:t xml:space="preserve">3.92</w:t>
            </w:r>
          </w:p>
        </w:tc>
        <w:tc>
          <w:tcPr>
            <w:tcW w:type="dxa" w:w="2000"/>
          </w:tcPr>
          <w:p>
            <w:r>
              <w:rPr>
                <w:sz w:val="20"/>
                <w:szCs w:val="20"/>
              </w:rPr>
              <w:t xml:space="preserve">50.2</w:t>
            </w:r>
          </w:p>
        </w:tc>
      </w:tr>
      <w:tr>
        <w:tc>
          <w:tcPr>
            <w:tcW w:type="dxa" w:w="2000"/>
          </w:tcPr>
          <w:p>
            <w:r>
              <w:rPr>
                <w:sz w:val="20"/>
                <w:szCs w:val="20"/>
              </w:rPr>
              <w:t xml:space="preserve">#E33B3B</w:t>
            </w:r>
          </w:p>
        </w:tc>
        <w:tc>
          <w:tcPr>
            <w:tcW w:type="dxa" w:w="2000"/>
          </w:tcPr>
          <w:p>
            <w:r>
              <w:rPr>
                <w:sz w:val="20"/>
                <w:szCs w:val="20"/>
              </w:rPr>
              <w:t xml:space="preserve">#FFFFFF</w:t>
            </w:r>
          </w:p>
        </w:tc>
        <w:tc>
          <w:tcPr>
            <w:tcW w:type="dxa" w:w="1000"/>
          </w:tcPr>
          <w:p>
            <w:r>
              <w:rPr>
                <w:sz w:val="20"/>
                <w:szCs w:val="20"/>
              </w:rPr>
              <w:t xml:space="preserve">160</w:t>
            </w:r>
          </w:p>
        </w:tc>
        <w:tc>
          <w:tcPr>
            <w:tcW w:type="dxa" w:w="2000"/>
          </w:tcPr>
          <w:p>
            <w:r>
              <w:rPr>
                <w:sz w:val="20"/>
                <w:szCs w:val="20"/>
              </w:rPr>
              <w:t xml:space="preserve">4.24</w:t>
            </w:r>
          </w:p>
        </w:tc>
        <w:tc>
          <w:tcPr>
            <w:tcW w:type="dxa" w:w="2000"/>
          </w:tcPr>
          <w:p>
            <w:r>
              <w:rPr>
                <w:sz w:val="20"/>
                <w:szCs w:val="20"/>
              </w:rPr>
              <w:t xml:space="preserve">89.4</w:t>
            </w:r>
          </w:p>
        </w:tc>
      </w:tr>
      <w:tr>
        <w:tc>
          <w:tcPr>
            <w:tcW w:type="dxa" w:w="2000"/>
          </w:tcPr>
          <w:p>
            <w:r>
              <w:rPr>
                <w:sz w:val="20"/>
                <w:szCs w:val="20"/>
              </w:rPr>
              <w:t xml:space="preserve">#FFFFFF</w:t>
            </w:r>
          </w:p>
        </w:tc>
        <w:tc>
          <w:tcPr>
            <w:tcW w:type="dxa" w:w="2000"/>
          </w:tcPr>
          <w:p>
            <w:r>
              <w:rPr>
                <w:sz w:val="20"/>
                <w:szCs w:val="20"/>
              </w:rPr>
              <w:t xml:space="preserve">#EDEDED</w:t>
            </w:r>
          </w:p>
        </w:tc>
        <w:tc>
          <w:tcPr>
            <w:tcW w:type="dxa" w:w="1000"/>
          </w:tcPr>
          <w:p>
            <w:r>
              <w:rPr>
                <w:sz w:val="20"/>
                <w:szCs w:val="20"/>
              </w:rPr>
              <w:t xml:space="preserve">137</w:t>
            </w:r>
          </w:p>
        </w:tc>
        <w:tc>
          <w:tcPr>
            <w:tcW w:type="dxa" w:w="2000"/>
          </w:tcPr>
          <w:p>
            <w:r>
              <w:rPr>
                <w:sz w:val="20"/>
                <w:szCs w:val="20"/>
              </w:rPr>
              <w:t xml:space="preserve">1.17</w:t>
            </w:r>
          </w:p>
        </w:tc>
        <w:tc>
          <w:tcPr>
            <w:tcW w:type="dxa" w:w="2000"/>
          </w:tcPr>
          <w:p>
            <w:r>
              <w:rPr>
                <w:sz w:val="20"/>
                <w:szCs w:val="20"/>
              </w:rPr>
              <w:t xml:space="preserve">6.3</w:t>
            </w:r>
          </w:p>
        </w:tc>
      </w:tr>
      <w:tr>
        <w:tc>
          <w:tcPr>
            <w:tcW w:type="dxa" w:w="2000"/>
          </w:tcPr>
          <w:p>
            <w:r>
              <w:rPr>
                <w:sz w:val="20"/>
                <w:szCs w:val="20"/>
              </w:rPr>
              <w:t xml:space="preserve">#BFAC51</w:t>
            </w:r>
          </w:p>
        </w:tc>
        <w:tc>
          <w:tcPr>
            <w:tcW w:type="dxa" w:w="2000"/>
          </w:tcPr>
          <w:p>
            <w:r>
              <w:rPr>
                <w:sz w:val="20"/>
                <w:szCs w:val="20"/>
              </w:rPr>
              <w:t xml:space="preserve">#FFFFFF</w:t>
            </w:r>
          </w:p>
        </w:tc>
        <w:tc>
          <w:tcPr>
            <w:tcW w:type="dxa" w:w="1000"/>
          </w:tcPr>
          <w:p>
            <w:r>
              <w:rPr>
                <w:sz w:val="20"/>
                <w:szCs w:val="20"/>
              </w:rPr>
              <w:t xml:space="preserve">124</w:t>
            </w:r>
          </w:p>
        </w:tc>
        <w:tc>
          <w:tcPr>
            <w:tcW w:type="dxa" w:w="2000"/>
          </w:tcPr>
          <w:p>
            <w:r>
              <w:rPr>
                <w:sz w:val="20"/>
                <w:szCs w:val="20"/>
              </w:rPr>
              <w:t xml:space="preserve">2.27</w:t>
            </w:r>
          </w:p>
        </w:tc>
        <w:tc>
          <w:tcPr>
            <w:tcW w:type="dxa" w:w="2000"/>
          </w:tcPr>
          <w:p>
            <w:r>
              <w:rPr>
                <w:sz w:val="20"/>
                <w:szCs w:val="20"/>
              </w:rPr>
              <w:t xml:space="preserve">57.0</w:t>
            </w:r>
          </w:p>
        </w:tc>
      </w:tr>
      <w:tr>
        <w:tc>
          <w:tcPr>
            <w:tcW w:type="dxa" w:w="2000"/>
          </w:tcPr>
          <w:p>
            <w:r>
              <w:rPr>
                <w:sz w:val="20"/>
                <w:szCs w:val="20"/>
              </w:rPr>
              <w:t xml:space="preserve">#999999</w:t>
            </w:r>
          </w:p>
        </w:tc>
        <w:tc>
          <w:tcPr>
            <w:tcW w:type="dxa" w:w="2000"/>
          </w:tcPr>
          <w:p>
            <w:r>
              <w:rPr>
                <w:sz w:val="20"/>
                <w:szCs w:val="20"/>
              </w:rPr>
              <w:t xml:space="preserve">#FFFFFF</w:t>
            </w:r>
          </w:p>
        </w:tc>
        <w:tc>
          <w:tcPr>
            <w:tcW w:type="dxa" w:w="1000"/>
          </w:tcPr>
          <w:p>
            <w:r>
              <w:rPr>
                <w:sz w:val="20"/>
                <w:szCs w:val="20"/>
              </w:rPr>
              <w:t xml:space="preserve">116</w:t>
            </w:r>
          </w:p>
        </w:tc>
        <w:tc>
          <w:tcPr>
            <w:tcW w:type="dxa" w:w="2000"/>
          </w:tcPr>
          <w:p>
            <w:r>
              <w:rPr>
                <w:sz w:val="20"/>
                <w:szCs w:val="20"/>
              </w:rPr>
              <w:t xml:space="preserve">2.85</w:t>
            </w:r>
          </w:p>
        </w:tc>
        <w:tc>
          <w:tcPr>
            <w:tcW w:type="dxa" w:w="2000"/>
          </w:tcPr>
          <w:p>
            <w:r>
              <w:rPr>
                <w:sz w:val="20"/>
                <w:szCs w:val="20"/>
              </w:rPr>
              <w:t xml:space="preserve">36.8</w:t>
            </w:r>
          </w:p>
        </w:tc>
      </w:tr>
      <w:tr>
        <w:tc>
          <w:tcPr>
            <w:tcW w:type="dxa" w:w="2000"/>
          </w:tcPr>
          <w:p>
            <w:r>
              <w:rPr>
                <w:sz w:val="20"/>
                <w:szCs w:val="20"/>
              </w:rPr>
              <w:t xml:space="preserve">#00BCD4</w:t>
            </w:r>
          </w:p>
        </w:tc>
        <w:tc>
          <w:tcPr>
            <w:tcW w:type="dxa" w:w="2000"/>
          </w:tcPr>
          <w:p>
            <w:r>
              <w:rPr>
                <w:sz w:val="20"/>
                <w:szCs w:val="20"/>
              </w:rPr>
              <w:t xml:space="preserve">#FFFFFF</w:t>
            </w:r>
          </w:p>
        </w:tc>
        <w:tc>
          <w:tcPr>
            <w:tcW w:type="dxa" w:w="1000"/>
          </w:tcPr>
          <w:p>
            <w:r>
              <w:rPr>
                <w:sz w:val="20"/>
                <w:szCs w:val="20"/>
              </w:rPr>
              <w:t xml:space="preserve">87</w:t>
            </w:r>
          </w:p>
        </w:tc>
        <w:tc>
          <w:tcPr>
            <w:tcW w:type="dxa" w:w="2000"/>
          </w:tcPr>
          <w:p>
            <w:r>
              <w:rPr>
                <w:sz w:val="20"/>
                <w:szCs w:val="20"/>
              </w:rPr>
              <w:t xml:space="preserve">2.30</w:t>
            </w:r>
          </w:p>
        </w:tc>
        <w:tc>
          <w:tcPr>
            <w:tcW w:type="dxa" w:w="2000"/>
          </w:tcPr>
          <w:p>
            <w:r>
              <w:rPr>
                <w:sz w:val="20"/>
                <w:szCs w:val="20"/>
              </w:rPr>
              <w:t xml:space="preserve">48.8</w:t>
            </w:r>
          </w:p>
        </w:tc>
      </w:tr>
      <w:tr>
        <w:tc>
          <w:tcPr>
            <w:tcW w:type="dxa" w:w="2000"/>
          </w:tcPr>
          <w:p>
            <w:r>
              <w:rPr>
                <w:sz w:val="20"/>
                <w:szCs w:val="20"/>
              </w:rPr>
              <w:t xml:space="preserve">#FFFFFF</w:t>
            </w:r>
          </w:p>
        </w:tc>
        <w:tc>
          <w:tcPr>
            <w:tcW w:type="dxa" w:w="2000"/>
          </w:tcPr>
          <w:p>
            <w:r>
              <w:rPr>
                <w:sz w:val="20"/>
                <w:szCs w:val="20"/>
              </w:rPr>
              <w:t xml:space="preserve">#F2F2F2</w:t>
            </w:r>
          </w:p>
        </w:tc>
        <w:tc>
          <w:tcPr>
            <w:tcW w:type="dxa" w:w="1000"/>
          </w:tcPr>
          <w:p>
            <w:r>
              <w:rPr>
                <w:sz w:val="20"/>
                <w:szCs w:val="20"/>
              </w:rPr>
              <w:t xml:space="preserve">81</w:t>
            </w:r>
          </w:p>
        </w:tc>
        <w:tc>
          <w:tcPr>
            <w:tcW w:type="dxa" w:w="2000"/>
          </w:tcPr>
          <w:p>
            <w:r>
              <w:rPr>
                <w:sz w:val="20"/>
                <w:szCs w:val="20"/>
              </w:rPr>
              <w:t xml:space="preserve">1.12</w:t>
            </w:r>
          </w:p>
        </w:tc>
        <w:tc>
          <w:tcPr>
            <w:tcW w:type="dxa" w:w="2000"/>
          </w:tcPr>
          <w:p>
            <w:r>
              <w:rPr>
                <w:sz w:val="20"/>
                <w:szCs w:val="20"/>
              </w:rPr>
              <w:t xml:space="preserve">4.5</w:t>
            </w:r>
          </w:p>
        </w:tc>
      </w:tr>
      <w:tr>
        <w:tc>
          <w:tcPr>
            <w:tcW w:type="dxa" w:w="2000"/>
          </w:tcPr>
          <w:p>
            <w:r>
              <w:rPr>
                <w:sz w:val="20"/>
                <w:szCs w:val="20"/>
              </w:rPr>
              <w:t xml:space="preserve">#959595</w:t>
            </w:r>
          </w:p>
        </w:tc>
        <w:tc>
          <w:tcPr>
            <w:tcW w:type="dxa" w:w="2000"/>
          </w:tcPr>
          <w:p>
            <w:r>
              <w:rPr>
                <w:sz w:val="20"/>
                <w:szCs w:val="20"/>
              </w:rPr>
              <w:t xml:space="preserve">#FFFFFF</w:t>
            </w:r>
          </w:p>
        </w:tc>
        <w:tc>
          <w:tcPr>
            <w:tcW w:type="dxa" w:w="1000"/>
          </w:tcPr>
          <w:p>
            <w:r>
              <w:rPr>
                <w:sz w:val="20"/>
                <w:szCs w:val="20"/>
              </w:rPr>
              <w:t xml:space="preserve">76</w:t>
            </w:r>
          </w:p>
        </w:tc>
        <w:tc>
          <w:tcPr>
            <w:tcW w:type="dxa" w:w="2000"/>
          </w:tcPr>
          <w:p>
            <w:r>
              <w:rPr>
                <w:sz w:val="20"/>
                <w:szCs w:val="20"/>
              </w:rPr>
              <w:t xml:space="preserve">3.00</w:t>
            </w:r>
          </w:p>
        </w:tc>
        <w:tc>
          <w:tcPr>
            <w:tcW w:type="dxa" w:w="2000"/>
          </w:tcPr>
          <w:p>
            <w:r>
              <w:rPr>
                <w:sz w:val="20"/>
                <w:szCs w:val="20"/>
              </w:rPr>
              <w:t xml:space="preserve">38.3</w:t>
            </w:r>
          </w:p>
        </w:tc>
      </w:tr>
    </w:tbl>
    <w:p>
      <w:pPr>
        <w:spacing w:after="300" w:before="100"/>
      </w:pPr>
      <w:r>
        <w:rPr>
          <w:b w:val="false"/>
          <w:bCs w:val="false"/>
          <w:i/>
          <w:iCs/>
          <w:sz w:val="18"/>
          <w:szCs w:val="18"/>
        </w:rPr>
        <w:t xml:space="preserve">Table 3. The 10 most frequent failing color pairs, with median WCAG contrast ratio and median CIELAB ΔE (CIE76).</w:t>
      </w:r>
    </w:p>
    <w:p>
      <w:pPr>
        <w:spacing w:after="200"/>
      </w:pPr>
      <w:r>
        <w:rPr>
          <w:sz w:val="22"/>
          <w:szCs w:val="22"/>
        </w:rPr>
        <w:t xml:space="preserve">Table 3 shows that the single most frequent failing pair, by a wide margin, is white text on a white background (2,379 occurrences, ΔE = 0). We cannot fully distinguish two explanations from the extracted data: text genuinely styled to match its background (a fully invisible pair), and text rendered over a photographic or gradient </w:t>
      </w:r>
      <w:r>
        <w:rPr>
          <w:rFonts w:ascii="Courier New" w:cs="Courier New" w:eastAsia="Courier New" w:hAnsi="Courier New"/>
          <w:sz w:val="22"/>
          <w:szCs w:val="22"/>
        </w:rPr>
        <w:t xml:space="preserve">background-image</w:t>
      </w:r>
      <w:r>
        <w:rPr>
          <w:sz w:val="22"/>
          <w:szCs w:val="22"/>
        </w:rPr>
        <w:t xml:space="preserve">, which our background-color resolution (Methodology, Limitations) would also record as white-on-white, since it only inspects </w:t>
      </w:r>
      <w:r>
        <w:rPr>
          <w:rFonts w:ascii="Courier New" w:cs="Courier New" w:eastAsia="Courier New" w:hAnsi="Courier New"/>
          <w:sz w:val="22"/>
          <w:szCs w:val="22"/>
        </w:rPr>
        <w:t xml:space="preserve">background-color</w:t>
      </w:r>
      <w:r>
        <w:rPr>
          <w:sz w:val="22"/>
          <w:szCs w:val="22"/>
        </w:rPr>
        <w:t xml:space="preserve"> up the DOM ancestor chain. Both explanations describe real accessibility failures, but only the first is a literal invisible-text pattern; the practical implication (this is the single largest identifiable failure signature in the dataset) holds either way.</w:t>
      </w:r>
    </w:p>
    <w:p>
      <w:pPr>
        <w:spacing w:after="100" w:before="200"/>
        <w:jc w:val="center"/>
      </w:pPr>
      <w: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300" w:before="100"/>
      </w:pPr>
      <w:r>
        <w:rPr>
          <w:b w:val="false"/>
          <w:bCs w:val="false"/>
          <w:i/>
          <w:iCs/>
          <w:sz w:val="18"/>
          <w:szCs w:val="18"/>
        </w:rPr>
        <w:t xml:space="preserve">Figure 3. Failing pairs' text-color coordinates projected onto the CIELAB a∗b∗ plane, colored by k-means cluster (k = 6, computed in the full L∗a∗b∗ space); point size encodes L∗ (lightness).</w:t>
      </w:r>
    </w:p>
    <w:p>
      <w:pPr>
        <w:pStyle w:val="Heading1"/>
        <w:spacing w:after="150" w:before="300"/>
      </w:pPr>
      <w:r>
        <w:t xml:space="preserve">5. Discussion</w:t>
      </w:r>
    </w:p>
    <w:p>
      <w:pPr>
        <w:spacing w:after="200"/>
      </w:pPr>
      <w:r>
        <w:rPr>
          <w:sz w:val="22"/>
          <w:szCs w:val="22"/>
        </w:rP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gray text on white, text over unmasked photographic backgrounds, and unverified interaction states (hover/focus/visited). The clustering result supports the low-chroma part of that hypothesis directly: near-neutral clusters consistent with the “light gray on white” pattern account for 80.0% of failing pairs, split by our full-L∗a∗b∗ clustering into a near-white cluster (L∗ = 99.5, 60.1%) and a mid-gray cluster (L∗ = 51.7,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mid-gray cluster is not subject to that concern, since L∗ = 51.7 is far from the near-white artifact region. Even allowing for that overlap in the near-white cluster, the remaining chromatic clusters, saturated brand colors used directly as text color, are each individually small (4.1% to 6.1% of pairs), so the practical intervention implied by our results is closer to the field's existing assumption than we initially expected: a style-guide fix targeting low-contrast neutral and gray text would address the large majority of observed failures, with saturated brand-color misuse a secondary, smaller pattern.</w:t>
      </w:r>
    </w:p>
    <w:p>
      <w:pPr>
        <w:spacing w:after="200"/>
      </w:pPr>
      <w:r>
        <w:rPr>
          <w:sz w:val="22"/>
          <w:szCs w:val="22"/>
        </w:rPr>
        <w:t xml:space="preserve">For the institutions themselves, a style guide targeting low-contrast neutral (gray-on-white) text would directly address the large majority of the failures we observe. The smaller chromatic clusters are still worth a secondary mention: a plausible, though untested, explanation for that residual is institutional brand palettes (a university's primary color used directly as a text color, regardless of what it sits on) rather than a single stylistic trend (Figure 4 shows four representative examples). We have not tested this explanation against each institution's declared brand colors, and treat it as a hypothesis for future work rather than a finding.</w:t>
      </w:r>
    </w:p>
    <w:p>
      <w:pPr>
        <w:spacing w:after="100" w:before="200"/>
        <w:jc w:val="center"/>
      </w:pPr>
      <w: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300" w:before="100"/>
      </w:pPr>
      <w:r>
        <w:rPr>
          <w:b w:val="false"/>
          <w:bCs w:val="false"/>
          <w:i/>
          <w:iCs/>
          <w:sz w:val="18"/>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200"/>
      </w:pPr>
      <w:r>
        <w:rPr>
          <w:sz w:val="22"/>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p>
      <w:pPr>
        <w:pStyle w:val="Heading1"/>
        <w:spacing w:after="150" w:before="300"/>
      </w:pPr>
      <w:r>
        <w:t xml:space="preserve">6. Limitations</w:t>
      </w:r>
    </w:p>
    <w:p>
      <w:pPr>
        <w:spacing w:after="200"/>
      </w:pPr>
      <w:r>
        <w:rPr>
          <w:sz w:val="22"/>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background-color resolution walks the DOM ancestor chain for a non-transparent </w:t>
      </w:r>
      <w:r>
        <w:rPr>
          <w:rFonts w:ascii="Courier New" w:cs="Courier New" w:eastAsia="Courier New" w:hAnsi="Courier New"/>
          <w:sz w:val="22"/>
          <w:szCs w:val="22"/>
        </w:rPr>
        <w:t xml:space="preserve">background-color</w:t>
      </w:r>
      <w:r>
        <w:rPr>
          <w:sz w:val="22"/>
          <w:szCs w:val="22"/>
        </w:rPr>
        <w:t xml:space="preserve"> and does not inspect </w:t>
      </w:r>
      <w:r>
        <w:rPr>
          <w:rFonts w:ascii="Courier New" w:cs="Courier New" w:eastAsia="Courier New" w:hAnsi="Courier New"/>
          <w:sz w:val="22"/>
          <w:szCs w:val="22"/>
        </w:rPr>
        <w:t xml:space="preserve">background-image</w:t>
      </w:r>
      <w:r>
        <w:rPr>
          <w:sz w:val="22"/>
          <w:szCs w:val="22"/>
        </w:rPr>
        <w:t xml:space="preserve">; a text element rendered over a photographic or gradient background resolves, incorrectly, against whatever solid color sits further up the ancestor chain (typically page white). This is a plausible contributor to the single most frequent failing pair in our data (white text on a white background, 2,379 occurrences): at least part of that count is likely mislabeled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2,379 white-on-white pairs as an artifact and excluding them entirely: the pair-level failure rate drops from 21.6% to 16.8%, and the site-level share with at least one critical failure drops from 93.5% to 90.7% (only 7 of 259 sites, 2.7%, have white-on-white as their </w:t>
      </w:r>
      <w:r>
        <w:rPr>
          <w:sz w:val="22"/>
          <w:szCs w:val="22"/>
        </w:rPr>
        <w:t xml:space="preserve">only</w:t>
      </w:r>
      <w:r>
        <w:rPr>
          <w:sz w:val="22"/>
          <w:szCs w:val="22"/>
        </w:rPr>
        <w:t xml:space="preserve"> recorded failure). Since at least some of these 2,379 pairs are surely genuine invisible-text bugs rather than background-image artifacts, this exclusion is an upper bound on the artifact's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 </w:t>
      </w:r>
      <w:r>
        <w:rPr>
          <w:rFonts w:ascii="Courier New" w:cs="Courier New" w:eastAsia="Courier New" w:hAnsi="Courier New"/>
          <w:sz w:val="22"/>
          <w:szCs w:val="22"/>
        </w:rPr>
        <w:t xml:space="preserve">axe-core</w:t>
      </w:r>
      <w:r>
        <w:rPr>
          <w:sz w:val="22"/>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150" w:before="300"/>
      </w:pPr>
      <w:r>
        <w:t xml:space="preserve">7. Conclusion</w:t>
      </w:r>
    </w:p>
    <w:p>
      <w:pPr>
        <w:spacing w:after="200"/>
      </w:pPr>
      <w:r>
        <w:rPr>
          <w:sz w:val="22"/>
          <w:szCs w:val="22"/>
        </w:rP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colors involved in these failures are consistent with our initial hypothesis: unsupervised clustering in the full CIELAB L∗a∗b∗ space shows that near-neutral, low-chroma “light gray on white” patterns account for 80.0% of failing pairs, with four smaller chromatic clusters making up the remainder. This suggests that accessibility guidance for this region can prioritize the low-contrast neutral-text pattern as the primary target, while treating brand-palette contrast checking as a secondary recommendation for the smaller residual of saturated-color failures.</w:t>
      </w:r>
    </w:p>
    <w:p>
      <w:pPr>
        <w:pStyle w:val="Heading1"/>
        <w:spacing w:after="150" w:before="300"/>
      </w:pPr>
      <w:r>
        <w:t xml:space="preserve">Data Availability</w:t>
      </w:r>
    </w:p>
    <w:p>
      <w:pPr>
        <w:spacing w:after="200"/>
      </w:pPr>
      <w:r>
        <w:rPr>
          <w:sz w:val="22"/>
          <w:szCs w:val="22"/>
        </w:rPr>
        <w:t xml:space="preserve">The domain list, crawl logs, extracted color pairs,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International Commission on Illumination (CIE). (1976). Colorimetry — Part 4: CIE 1976 L*a∗b∗ Colour Space. CIE. https://cie.co.at/publications/colorimetry-part-4-cie-1976-lab-colour-space-0</w:t>
      </w:r>
    </w:p>
    <w:p>
      <w:pPr>
        <w:spacing w:after="150"/>
        <w:ind w:left="400" w:hanging="400"/>
      </w:pPr>
      <w:r>
        <w:rPr>
          <w:sz w:val="20"/>
          <w:szCs w:val="20"/>
        </w:rPr>
        <w:t xml:space="preserve">Ofosu-Asare, Y. (2024). Enhancing user experience in online learning environments: Design, evaluation, and usability techniques. Journal of Graphic Engineering and Design, 15(4), 45–59. https://doi.org/10.24867/JGED-2024-4-045</w:t>
      </w:r>
    </w:p>
    <w:p>
      <w:pPr>
        <w:spacing w:after="150"/>
        <w:ind w:left="400" w:hanging="400"/>
      </w:pPr>
      <w:r>
        <w:rPr>
          <w:sz w:val="20"/>
          <w:szCs w:val="20"/>
        </w:rPr>
        <w:t xml:space="preserve">Punsongserm, R., &amp; Suvakunta, P. (2025). Enhancing accessibility of Thai government mobile applications through effective use of typefaces, type sizes, and colour contrast: A technical review. Journal of Graphic Engineering and Design, 16(1). https://doi.org/10.24867/JGED-2025-1-017</w:t>
      </w:r>
    </w:p>
    <w:p>
      <w:pPr>
        <w:spacing w:after="150"/>
        <w:ind w:left="400" w:hanging="400"/>
      </w:pPr>
      <w:r>
        <w:rPr>
          <w:sz w:val="20"/>
          <w:szCs w:val="20"/>
        </w:rPr>
        <w:t xml:space="preserve">Weingerl, P., Nedeljković, U., &amp; Pušnik, N. (2022). Visibility and legibility of five-letter words in different experimental conditions. Journal of Graphic Engineering and Design, 13(3), 51–58. https://doi.org/10.24867/JGED-2022-3-051</w:t>
      </w:r>
    </w:p>
    <w:p>
      <w:pPr>
        <w:spacing w:after="150"/>
        <w:ind w:left="400" w:hanging="400"/>
      </w:pPr>
      <w:r>
        <w:rPr>
          <w:sz w:val="20"/>
          <w:szCs w:val="20"/>
        </w:rPr>
        <w:t xml:space="preserve">WebAIM. (2026). The WebAIM Million: The 2026 Report on the Accessibility of the Top 1,000,000 Home Pages. https://webaim.org/projects/million/</w:t>
      </w:r>
    </w:p>
    <w:p>
      <w:pPr>
        <w:spacing w:after="150"/>
        <w:ind w:left="400" w:hanging="400"/>
      </w:pPr>
      <w:r>
        <w:rPr>
          <w:sz w:val="20"/>
          <w:szCs w:val="20"/>
        </w:rPr>
        <w:t xml:space="preserve">World Wide Web Consortium (W3C). (2023). Web Content Accessibility Guidelines (WCAG) 2.2. W3C Recommendation, 5 October 2023. https://www.w3.org/TR/WCAG22/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348bbf4edea62b3df6a0afbf374abc4fb72a0d38.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2026-08-25T00:34:13.978Z</dcterms:created>
  <dcterms:modified xsi:type="dcterms:W3CDTF">2026-08-25T00:34:13.980Z</dcterms:modified>
</cp:coreProperties>
</file>

<file path=docProps/custom.xml><?xml version="1.0" encoding="utf-8"?>
<Properties xmlns="http://schemas.openxmlformats.org/officeDocument/2006/custom-properties" xmlns:vt="http://schemas.openxmlformats.org/officeDocument/2006/docPropsVTypes"/>
</file>