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t xml:space="preserve">Juan Pablo Aviles-Esparza</w:t>
      </w:r>
      <w:r>
        <w:rPr>
          <w:vertAlign w:val="superscript"/>
        </w:rPr>
        <w:t xml:space="preserve">1,*</w:t>
      </w:r>
      <w:r>
        <w:t xml:space="preserve">, Italo Javier Tenempaguay-Granizo</w:t>
      </w:r>
      <w:r>
        <w:rPr>
          <w:vertAlign w:val="superscript"/>
        </w:rPr>
        <w:t xml:space="preserve">1</w:t>
      </w:r>
      <w:r>
        <w:t xml:space="preserve">, Isaac David Torres-Paredes</w:t>
      </w:r>
      <w:r>
        <w:rPr>
          <w:vertAlign w:val="superscript"/>
        </w:rPr>
        <w:t xml:space="preserve">1</w:t>
      </w:r>
    </w:p>
    <w:p>
      <w:pPr>
        <w:pStyle w:val="BodyText"/>
      </w:pPr>
      <w:r>
        <w:rPr>
          <w:vertAlign w:val="superscript"/>
        </w:rPr>
        <w:t xml:space="preserve">1</w:t>
      </w:r>
      <w:r>
        <w:t xml:space="preserve"> </w:t>
      </w:r>
      <w:r>
        <w:t xml:space="preserve">Software Engineering, Faculty of Informatics and Electronics, Escuela Superior Politécnica de Chimborazo (ESPOCH), Riobamba 060155, Ecuador</w:t>
      </w:r>
    </w:p>
    <w:p>
      <w:pPr>
        <w:pStyle w:val="BodyText"/>
      </w:pPr>
      <w:r>
        <w:rPr>
          <w:vertAlign w:val="superscript"/>
        </w:rPr>
        <w:t xml:space="preserve">*</w:t>
      </w:r>
      <w:r>
        <w:t xml:space="preserve"> </w:t>
      </w:r>
      <w:r>
        <w:t xml:space="preserve">Corresponding author: juan.aviles@espoch.edu.ec</w:t>
      </w:r>
    </w:p>
    <w:p>
      <w:pPr>
        <w:pStyle w:val="BodyText"/>
      </w:pPr>
      <w:r>
        <w:t xml:space="preserve">ORCID: 0009-0007-0058-8069 (J.P.A.-E.), 0009-0001-5753-4279 (I.J.T.-G.), 0009-0001-7057-9316 (I.D.T.-P.)</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and not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Larger text fails slightly more often than body text, and only continuous font size keeps a small association with failure under site-clustered standard errors (</w:t>
      </w:r>
      <m:oMath>
        <m:r>
          <m:t>p</m:t>
        </m:r>
        <m:r>
          <m:rPr>
            <m:sty m:val="p"/>
          </m:rPr>
          <m:t>=</m:t>
        </m:r>
        <m:r>
          <m:t>0.027</m:t>
        </m:r>
      </m:oMath>
      <w:r>
        <w:t xml:space="preserve">). Clustering the failing pairs’ text colours in CIELAB shows that the largest group (60.1%) is white text resolved against a white or near-white background (median ratio 1.01), most plausibly text drawn over background images that colour extraction cannot see. Mid-grey text on white, the pattern usually assumed, accounts for 19.9%, and saturated colours for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Regional surveys of Latin American university websites exist (Acosta-Vargas, Acosta &amp; Lujan-Mora, 2018), but they evaluate WCAG conformance as a whole; to our knowledge none has measured colour contrast specifically, from computed styles, at regional scale. The gap matters because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a regional survey focused specifically on colour contrast in Latin American university homepages, measured from computed (post-CSS) styles on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the most frequent failure signature is white text resolved against a light background, most plausibly an extraction artefact of text over images, while mid-grey text on white and saturated colours each account for about a fifth of failures.</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not on regulatory thresholds. Weingerl, Nedeljković &amp; Pušnik (2022) measured how quickly five-letter words displayed on screen are recognised and found that recognition time depends on the typeface, the letter case, and the position of the word on the screen; legibility therefore depends on several presentation variables at once, which is why we analyse contrast together with font size and weight.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In a related display context, Jović et al. (2026) review the literature on text legibility in augmented reality and identify colour and contrast among the ten parameters that govern it, together with background influence and environmental illumination. Ofosu-Asare (2024) evaluated and redesigned an online learning platform with 150 participants using heuristic evaluation, guideline reviews, and cognitive walkthroughs; expert- and user-based evaluations of this kind are informative but do not scale to a whole region, which is the gap this paper addresses for the chromatic dimension with an automated survey. Within this journal, colour and ink have mostly been studied on the print side, for example the drying systems used for printing inks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keep accessibility centred on people with disabilities while relating it to universal design and to the situational limitations, such as device or environmental constraints, that affect all users. Insufficient contrast is a case where both concerns meet, since it also hinders reading on poor screens or in bright light, so WCAG contrast compliance is better seen as a baseline quality requirement than as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40 websites, 30 of them Latin American universities,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instead of a WAVE rule-engine scan) and restrict the analysis to the chromatic dimension specifically, extracting every text/background colour pair in CIELAB coordinates instead of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(Argentina, Bolivia, Brazil, Chile, Colombia, Costa Rica, Cuba, Dominican Republic, Ecuador, El Salvador, Guatemala, Honduras, Mexico, Nicaragua, Panama, Paraguay, Peru, Uruguay, Venezuela), and drew a stratified random sample across countries (capped per country to avoid Brazil and Mexico dominating the list); because of the cap, regional aggregates are unweighted averages over sampled institutions, not estimates weighted by each country’s number of universities.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 The share of sampled domains that yielded analysable pairs ranged from 36% (Mexico, Paraguay) to 91% (Guatemala), but did not differ significantly by country (</w:t>
      </w:r>
      <m:oMath>
        <m:sSup>
          <m:e>
            <m:r>
              <m:t>χ</m:t>
            </m:r>
          </m:e>
          <m:sup>
            <m:r>
              <m:t>2</m:t>
            </m:r>
          </m:sup>
        </m:sSup>
        <m:r>
          <m:rPr>
            <m:sty m:val="p"/>
          </m:rPr>
          <m:t>=</m:t>
        </m:r>
        <m:r>
          <m:t>21.68</m:t>
        </m:r>
      </m:oMath>
      <w:r>
        <w:t xml:space="preserve">,</w:t>
      </w:r>
      <w:r>
        <w:t xml:space="preserve"> </w:t>
      </w:r>
      <m:oMath>
        <m:r>
          <m:t>d</m:t>
        </m:r>
        <m:r>
          <m:t>f</m:t>
        </m:r>
        <m:r>
          <m:rPr>
            <m:sty m:val="p"/>
          </m:rPr>
          <m:t>=</m:t>
        </m:r>
        <m:r>
          <m:t>16</m:t>
        </m:r>
      </m:oMath>
      <w:r>
        <w:t xml:space="preserve">,</w:t>
      </w:r>
      <w:r>
        <w:t xml:space="preserve"> </w:t>
      </w:r>
      <m:oMath>
        <m:r>
          <m:t>p</m:t>
        </m:r>
        <m:r>
          <m:rPr>
            <m:sty m:val="p"/>
          </m:rPr>
          <m:t>=</m:t>
        </m:r>
        <m:r>
          <m:t>0.154</m:t>
        </m:r>
      </m:oMath>
      <w:r>
        <w:t xml:space="preserve">).</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Colours with partial transparency (</w:t>
      </w:r>
      <w:r>
        <w:rPr>
          <w:rStyle w:val="VerbatimChar"/>
        </w:rPr>
        <w:t xml:space="preserve">rgba</w:t>
      </w:r>
      <w:r>
        <w:t xml:space="preserve">, 7.5% of pairs) were composited over white before computing contrast, and element-level opacity between 0 and 1 was not applied; both are approximations of the colour actually rendered (Limitations). This step requires a live browser, not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2007) (</w:t>
      </w:r>
      <m:oMath>
        <m:sSub>
          <m:e>
            <m:r>
              <m:t>D</m:t>
            </m:r>
          </m:e>
          <m:sub>
            <m:r>
              <m:t>65</m:t>
            </m:r>
          </m:sub>
        </m:sSub>
      </m:oMath>
      <w:r>
        <w:t xml:space="preserve"> </w:t>
      </w:r>
      <w:r>
        <w:t xml:space="preserve">illuminant) for the clustering analysis; colour distances are reported as CIE76</w:t>
      </w:r>
      <w:r>
        <w:t xml:space="preserve"> </w:t>
      </w:r>
      <m:oMath>
        <m:r>
          <m:rPr>
            <m:sty m:val="p"/>
          </m:rPr>
          <m:t>Δ</m:t>
        </m:r>
        <m:r>
          <m:t>E</m:t>
        </m:r>
      </m:oMath>
      <w:r>
        <w:t xml:space="preserve">, the Euclidean distance in the same space used for clustering.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 from which we compute each site’s axe-core violation rate.</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and whether the site has a critical failure, defined as at least one failing pair).</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We therefore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not only the country effect, survive proper clustering.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computed the silhouette score for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and fixed</w:t>
      </w:r>
      <w:r>
        <w:t xml:space="preserve"> </w:t>
      </w:r>
      <m:oMath>
        <m:r>
          <m:t>k</m:t>
        </m:r>
        <m:r>
          <m:rPr>
            <m:sty m:val="p"/>
          </m:rPr>
          <m:t>=</m:t>
        </m:r>
        <m:r>
          <m:t>6</m:t>
        </m:r>
      </m:oMath>
      <w:r>
        <w:t xml:space="preserve"> </w:t>
      </w:r>
      <w:r>
        <w:t xml:space="preserve">for interpretability (Results; the curve is in the repository).</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Because a single failing pair is enough to mark a site, we also report stricter thresholds: 71.0% of sites have more than 10% of their pairs failing, and 41.7% more than 25%.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thresholds marked; the 3:1 line applies only to large text, and the 4.5:1 and 7:1 lines are the AA and AAA thresholds for body text.</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Monte Carlo permutation test with 10</w:t>
      </w:r>
      <w:r>
        <w:t xml:space="preserve">,</w:t>
      </w:r>
      <w:r>
        <w:t xml:space="preserve">000 permutations, shuffling critical-failure status across sites while keeping each country’s number of sites fixed and recomputing</w:t>
      </w:r>
      <w:r>
        <w:t xml:space="preserve"> </w:t>
      </w:r>
      <m:oMath>
        <m:sSup>
          <m:e>
            <m:r>
              <m:t>χ</m:t>
            </m:r>
          </m:e>
          <m:sup>
            <m:r>
              <m:t>2</m:t>
            </m:r>
          </m:sup>
        </m:sSup>
      </m:oMath>
      <w:r>
        <w:t xml:space="preserve"> </w:t>
      </w:r>
      <w:r>
        <w:t xml:space="preserve">each time. It agrees with the asymptotic result (</w:t>
      </w:r>
      <m:oMath>
        <m:sSub>
          <m:e>
            <m:r>
              <m:t>p</m:t>
            </m:r>
          </m:e>
          <m:sub>
            <m:r>
              <m:rPr>
                <m:sty m:val="p"/>
              </m:rPr>
              <m:t>M</m:t>
            </m:r>
            <m:r>
              <m:rPr>
                <m:sty m:val="p"/>
              </m:rPr>
              <m:t>C</m:t>
            </m:r>
          </m:sub>
        </m:sSub>
        <m:r>
          <m:rPr>
            <m:sty m:val="p"/>
          </m:rPr>
          <m:t>=</m:t>
        </m:r>
        <m:r>
          <m:t>0.0856</m:t>
        </m:r>
      </m:oMath>
      <w:r>
        <w:t xml:space="preserve"> </w:t>
      </w:r>
      <w:r>
        <w:t xml:space="preserve">versus</w:t>
      </w:r>
      <w:r>
        <w:t xml:space="preserve"> </w:t>
      </w:r>
      <m:oMath>
        <m:r>
          <m:t>p</m:t>
        </m:r>
        <m:r>
          <m:rPr>
            <m:sty m:val="p"/>
          </m:rPr>
          <m:t>=</m:t>
        </m:r>
        <m:r>
          <m:t>0.0858</m:t>
        </m:r>
      </m:oMath>
      <w:r>
        <w:t xml:space="preserve">), so the result does not depend on the chi-squared approximation. We therefore report the country effect as a real but unresolved pattern (visible and directionally consistent at the pair level, but not confirmed at the site level with the sample sizes available here), not as a confirmed finding, and we do not treat the specific per-country coefficients above as reliable individually. Typography varies within a site, so it is less exposed to the between-site clustering concern. In raw terms, large text fails slightly more often than body text (25.1% versus 21.0% of pairs), despite its lower 3:1 threshold. The two typography variables are strongly correlated (point-biserial</w:t>
      </w:r>
      <w:r>
        <w:t xml:space="preserve"> </w:t>
      </w:r>
      <m:oMath>
        <m:r>
          <m:t>r</m:t>
        </m:r>
        <m:r>
          <m:rPr>
            <m:sty m:val="p"/>
          </m:rPr>
          <m:t>=</m:t>
        </m:r>
        <m:r>
          <m:t>0.66</m:t>
        </m:r>
      </m:oMath>
      <w:r>
        <w:t xml:space="preserve">), so in the joint model the large-text coefficient is negative only conditionally on pixel size (</w:t>
      </w:r>
      <m:oMath>
        <m:r>
          <m:t>β</m:t>
        </m:r>
        <m:r>
          <m:rPr>
            <m:sty m:val="p"/>
          </m:rPr>
          <m:t>=</m:t>
        </m:r>
        <m:r>
          <m:rPr>
            <m:sty m:val="p"/>
          </m:rPr>
          <m:t>−</m:t>
        </m:r>
        <m:r>
          <m:t>0.10</m:t>
        </m:r>
      </m:oMath>
      <w:r>
        <w:t xml:space="preserve">); with site-clustered sandwich standard errors (generalised estimating equations, independence working correlation) it is not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and entered alone it is positive and not significant either (</w:t>
      </w:r>
      <m:oMath>
        <m:r>
          <m:t>β</m:t>
        </m:r>
        <m:r>
          <m:rPr>
            <m:sty m:val="p"/>
          </m:rPr>
          <m:t>=</m:t>
        </m:r>
        <m:r>
          <m:rPr>
            <m:sty m:val="p"/>
          </m:rPr>
          <m:t>+</m:t>
        </m:r>
        <m:r>
          <m:t>0.10</m:t>
        </m:r>
      </m:oMath>
      <w:r>
        <w:t xml:space="preserve">,</w:t>
      </w:r>
      <w:r>
        <w:t xml:space="preserve"> </w:t>
      </w:r>
      <m:oMath>
        <m:r>
          <m:t>p</m:t>
        </m:r>
        <m:r>
          <m:rPr>
            <m:sty m:val="p"/>
          </m:rPr>
          <m:t>=</m:t>
        </m:r>
        <m:r>
          <m:t>0.391</m:t>
        </m:r>
      </m:oMath>
      <w:r>
        <w:t xml:space="preserve">). Continuous font size keeps a small positive association with failure under clustering, both jointly (</w:t>
      </w:r>
      <m:oMath>
        <m:r>
          <m:t>β</m:t>
        </m:r>
        <m:r>
          <m:rPr>
            <m:sty m:val="p"/>
          </m:rPr>
          <m:t>=</m:t>
        </m:r>
        <m:r>
          <m:rPr>
            <m:sty m:val="p"/>
          </m:rPr>
          <m:t>+</m:t>
        </m:r>
        <m:r>
          <m:t>0.0108</m:t>
        </m:r>
      </m:oMath>
      <w:r>
        <w:t xml:space="preserve">,</w:t>
      </w:r>
      <w:r>
        <w:t xml:space="preserve"> </w:t>
      </w:r>
      <m:oMath>
        <m:r>
          <m:t>p</m:t>
        </m:r>
        <m:r>
          <m:rPr>
            <m:sty m:val="p"/>
          </m:rPr>
          <m:t>=</m:t>
        </m:r>
        <m:r>
          <m:t>0.027</m:t>
        </m:r>
      </m:oMath>
      <w:r>
        <w:t xml:space="preserve">) and alone (</w:t>
      </w:r>
      <m:oMath>
        <m:r>
          <m:t>β</m:t>
        </m:r>
        <m:r>
          <m:rPr>
            <m:sty m:val="p"/>
          </m:rPr>
          <m:t>=</m:t>
        </m:r>
        <m:r>
          <m:rPr>
            <m:sty m:val="p"/>
          </m:rPr>
          <m:t>+</m:t>
        </m:r>
        <m:r>
          <m:t>0.0085</m:t>
        </m:r>
      </m:oMath>
      <w:r>
        <w:t xml:space="preserve">,</w:t>
      </w:r>
      <w:r>
        <w:t xml:space="preserve"> </w:t>
      </w:r>
      <m:oMath>
        <m:r>
          <m:t>p</m:t>
        </m:r>
        <m:r>
          <m:rPr>
            <m:sty m:val="p"/>
          </m:rPr>
          <m:t>=</m:t>
        </m:r>
        <m:r>
          <m:t>0.035</m:t>
        </m:r>
      </m:oMath>
      <w:r>
        <w:t xml:space="preserve">): larger text fails somewhat more often, plausibly because headings and banner text are the elements most often placed over images.</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Uruguay (4 sites) appears here but not in Table 2, which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The silhouette score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rises from 0.67 at</w:t>
      </w:r>
      <w:r>
        <w:t xml:space="preserve"> </w:t>
      </w:r>
      <m:oMath>
        <m:r>
          <m:t>k</m:t>
        </m:r>
        <m:r>
          <m:rPr>
            <m:sty m:val="p"/>
          </m:rPr>
          <m:t>=</m:t>
        </m:r>
        <m:r>
          <m:t>2</m:t>
        </m:r>
      </m:oMath>
      <w:r>
        <w:t xml:space="preserve"> </w:t>
      </w:r>
      <w:r>
        <w:t xml:space="preserve">to about 0.80 at</w:t>
      </w:r>
      <w:r>
        <w:t xml:space="preserve"> </w:t>
      </w:r>
      <m:oMath>
        <m:r>
          <m:t>k</m:t>
        </m:r>
        <m:r>
          <m:rPr>
            <m:sty m:val="p"/>
          </m:rPr>
          <m:t>=</m:t>
        </m:r>
        <m:r>
          <m:t>6</m:t>
        </m:r>
      </m:oMath>
      <w:r>
        <w:t xml:space="preserve"> </w:t>
      </w:r>
      <w:r>
        <w:t xml:space="preserve">and then stays between 0.77 and 0.83 without a clear peak, so we fix</w:t>
      </w:r>
      <w:r>
        <w:t xml:space="preserve"> </w:t>
      </w:r>
      <m:oMath>
        <m:r>
          <m:t>k</m:t>
        </m:r>
        <m:r>
          <m:rPr>
            <m:sty m:val="p"/>
          </m:rPr>
          <m:t>=</m:t>
        </m:r>
        <m:r>
          <m:t>6</m:t>
        </m:r>
      </m:oMath>
      <w:r>
        <w:t xml:space="preserve"> </w:t>
      </w:r>
      <w:r>
        <w:t xml:space="preserve">for interpretability. The partition separates the low-chroma pairs into two clusters at different lightness levels. The larger is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in which 91.3% of the pairs have pure white text (#FFFFFF), the median background lightness is</w:t>
      </w:r>
      <w:r>
        <w:t xml:space="preserve"> </w:t>
      </w:r>
      <m:oMath>
        <m:sSup>
          <m:e>
            <m:r>
              <m:t>L</m:t>
            </m:r>
          </m:e>
          <m:sup>
            <m:r>
              <m:rPr>
                <m:sty m:val="p"/>
              </m:rPr>
              <m:t>*</m:t>
            </m:r>
          </m:sup>
        </m:sSup>
        <m:r>
          <m:rPr>
            <m:sty m:val="p"/>
          </m:rPr>
          <m:t>=</m:t>
        </m:r>
        <m:r>
          <m:t>100</m:t>
        </m:r>
      </m:oMath>
      <w:r>
        <w:t xml:space="preserve">, and the median contrast ratio is 1.01: these are white texts resolved against white or near-white backgrounds, not grey text. The second is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median background</w:t>
      </w:r>
      <w:r>
        <w:t xml:space="preserve"> </w:t>
      </w:r>
      <m:oMath>
        <m:sSup>
          <m:e>
            <m:r>
              <m:t>L</m:t>
            </m:r>
          </m:e>
          <m:sup>
            <m:r>
              <m:rPr>
                <m:sty m:val="p"/>
              </m:rPr>
              <m:t>*</m:t>
            </m:r>
          </m:sup>
        </m:sSup>
        <m:r>
          <m:rPr>
            <m:sty m:val="p"/>
          </m:rPr>
          <m:t>=</m:t>
        </m:r>
        <m:r>
          <m:t>99.2</m:t>
        </m:r>
      </m:oMath>
      <w:r>
        <w:t xml:space="preserve">), which does correspond to grey text on white. Four smaller chromatic clusters (4.1% to 6.1% of pairs each, chroma 41.6–78.4) span red, blue, yellow-green, and green regions of the plane (Figure 3). Across all failing pairs, 42.2% have a contrast ratio below 1.5, i.e. text that would be practically invisible if the recorded background were the rendered one, which points to the background-image artefact discussed below and in Limitations. Agreement between our per-site failure rate and</w:t>
      </w:r>
      <w:r>
        <w:t xml:space="preserve"> </w:t>
      </w:r>
      <w:r>
        <w:rPr>
          <w:rStyle w:val="VerbatimChar"/>
        </w:rPr>
        <w:t xml:space="preserve">axe-core</w:t>
      </w:r>
      <w:r>
        <w:t xml:space="preserve">’s per-site violation rate (violations over violations plus passes) is positive but moderate (</w:t>
      </w:r>
      <m:oMath>
        <m:r>
          <m:t>r</m:t>
        </m:r>
        <m:r>
          <m:rPr>
            <m:sty m:val="p"/>
          </m:rPr>
          <m:t>=</m:t>
        </m:r>
        <m:r>
          <m:t>0.347</m:t>
        </m:r>
      </m:oMath>
      <w:r>
        <w:t xml:space="preserve">, 253 sites with axe-core results), which is expected given the two tools differ in which elements they consider evaluable.</w:t>
      </w:r>
    </w:p>
    <w:bookmarkStart w:id="30" w:name="tab:top-pairs"/>
    <w:p>
      <w:pPr>
        <w:pStyle w:val="TableCaption"/>
      </w:pPr>
      <w:r>
        <w:t xml:space="preserve">Table 3. The 10 most frequent failing colour pairs, with their WCAG contrast ratio and CIELAB colour difference</w:t>
      </w:r>
      <w:r>
        <w:t xml:space="preserve"> </w:t>
      </w:r>
      <m:oMath>
        <m:r>
          <m:rPr>
            <m:sty m:val="p"/>
          </m:rPr>
          <m:t>Δ</m:t>
        </m:r>
        <m:r>
          <m:t>E</m:t>
        </m:r>
      </m:oMath>
      <w:r>
        <w:t xml:space="preserve"> </w:t>
      </w:r>
      <w:r>
        <w:t xml:space="preserve">(CIE76).</w:t>
      </w:r>
    </w:p>
    <w:tbl>
      <w:tblPr>
        <w:tblStyle w:val="Table"/>
        <w:tblW w:type="auto" w:w="0"/>
        <w:jc w:val="center"/>
        <w:tblLook w:firstRow="1" w:lastRow="0" w:firstColumn="0" w:lastColumn="0" w:noHBand="0" w:noVBand="0" w:val="0020"/>
        <w:tblCaption w:val="Table 3. The 10 most frequent failing colour pairs, with their WCAG contrast ratio and CIELAB colour difference \Delta E (CIE76)."/>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w:t>
            </w:r>
          </w:p>
        </w:tc>
        <w:tc>
          <w:tcPr>
            <w:tcBorders>
              <w:top w:val="single" w:sz="12" w:space="0" w:color="000000"/>
              <w:bottom w:val="single" w:sz="6" w:space="0" w:color="000000"/>
            </w:tcBorders>
          </w:tcPr>
          <w:p>
            <w:pPr>
              <w:pStyle w:val="Compact"/>
              <w:jc w:val="center"/>
            </w:pPr>
            <m:oMath>
              <m:r>
                <m:rPr>
                  <m:sty m:val="p"/>
                </m:rPr>
                <m:t>Δ</m:t>
              </m:r>
              <m:r>
                <m:t>E</m:t>
              </m:r>
            </m:oMath>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problems, but only the first is literally invisible text. Together with the white-on-light-grey pairs in the same table, this signature makes up most of the near-white cluster.</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 colours projected onto the CIELAB</w:t>
      </w:r>
      <w:r>
        <w:t xml:space="preserve"> </w:t>
      </w:r>
      <m:oMath>
        <m:sSup>
          <m:e>
            <m:r>
              <m:t>a</m:t>
            </m:r>
          </m:e>
          <m:sup>
            <m:r>
              <m:rPr>
                <m:sty m:val="p"/>
              </m:rPr>
              <m:t>*</m:t>
            </m:r>
          </m:sup>
        </m:sSup>
        <m:sSup>
          <m:e>
            <m:r>
              <m:t>b</m:t>
            </m:r>
          </m:e>
          <m:sup>
            <m:r>
              <m:rPr>
                <m:sty m:val="p"/>
              </m:rPr>
              <m:t>*</m:t>
            </m:r>
          </m:sup>
        </m:sSup>
      </m:oMath>
      <w:r>
        <w:t xml:space="preserve"> </w:t>
      </w:r>
      <w:r>
        <w:t xml:space="preserve">plane, one marker per distinct colour, with marker size proportional to the number of pairs and shape and shade identifying the</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 near-white and mid-grey clusters overlap near the origin because they differ in lightness (</w:t>
      </w:r>
      <m:oMath>
        <m:sSup>
          <m:e>
            <m:r>
              <m:t>L</m:t>
            </m:r>
          </m:e>
          <m:sup>
            <m:r>
              <m:rPr>
                <m:sty m:val="p"/>
              </m:rPr>
              <m:t>*</m:t>
            </m:r>
          </m:sup>
        </m:sSup>
      </m:oMath>
      <w:r>
        <w:t xml:space="preserve">), which this projection does not show.</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that hypothesis only in part. Grey text on white, the pattern most often assumed, is real but accounts for about a fifth of failing pairs (the mid-grey cluster, 19.9%). The largest group (60.1%) is white text resolved against a white or near-white background, with a median contrast ratio of 1.01. That signature fits the second element of our hypothesis, text placed over photographs or gradients, because our extraction records the solid colour behind an image rather than the image itself; it can also include genuinely invisible text, and the data cannot separate the two. The remaining fifth consists of saturated colours used directly as text (4.1% to 6.1% each). The practical implication is therefore not a single style-guide fix: checking text placed over images and banners would address the largest group if the artefact reading is correct, a minimum-contrast rule for grey text would address the second, and checking brand colours used as text colours would address the third.</w:t>
      </w:r>
    </w:p>
    <w:p>
      <w:pPr>
        <w:pStyle w:val="BodyText"/>
      </w:pPr>
      <w:r>
        <w:t xml:space="preserve">For the chromatic clusters, a plausible, though untested, explanation is institutional brand palettes (a university’s primary colour used directly as a text colour, regardless of what it sits on), not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WCAG contrast ratio, and the number of occurrences; the specimen text is illustrative and no institution is identified. Grey-on-white pairs and colours used directly as text (muted pink #9F6B6B on light grey,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not confirmed, and do not rely on individual per-country coefficients. Sixth, 40.1% of the sampled domains could not be rendered or yielded no usable pairs; the rendering rate did not differ significantly by country (Results), but we had no institution-size or resourcing variable to test whether less-resourced institutions are under-represented, which would bias the country figures. Seventh,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Eighth,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some of these 2</w:t>
      </w:r>
      <w:r>
        <w:t xml:space="preserve">,</w:t>
      </w:r>
      <w:r>
        <w:t xml:space="preserve">379 pairs are probably invisible-text bugs and not background-image artefacts, this exclusion is an upper bound on the artefact’s impact, not a corrected estimate; even so, both headline figures remain qualitatively unchanged. The same artefact affects the cluster analysis more strongly than the headline rates, because white-on-white pairs make up most of the largest cluster. Recording axe-core’s</w:t>
      </w:r>
      <w:r>
        <w:t xml:space="preserve"> </w:t>
      </w:r>
      <w:r>
        <w:rPr>
          <w:i/>
          <w:iCs/>
        </w:rPr>
        <w:t xml:space="preserve">incomplete</w:t>
      </w:r>
      <w:r>
        <w:t xml:space="preserve"> </w:t>
      </w:r>
      <w:r>
        <w:t xml:space="preserve">results, which flag text over background images as not evaluable, would allow the artefact to be estimated rather than bounded; we did not store them in this crawl. Ninth, partially transparent colours were composited over white and partial element opacity was ignored, so the contrast of 7.5% of pairs is approximate.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methodological differences between contrast-ratio counting and axe-core’s rule engine, not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widespread (93.4% of sites affected, 21.6% of all measured pairs); a country effect is visible at the pair level but is not confirmed once the actual unit of analysis (site) and the clustering of pairs within a site are accounted for, and we report it as an open question. The colours involved support our initial hypothesis only in part: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grey text on white accounts for 19.9% of failing pairs and saturated colours for 20.0%, while the largest group (60.1%) is white text resolved against a white or near-white background, most plausibly text over images that colour extraction cannot see. Accessibility guidance for these institutions should therefore check text placed over images and banners, set a minimum contrast for grey text, and verify brand colours used as text colours; future audits should measure contrast against the rendered background, not only the declared background colour.</w:t>
      </w:r>
    </w:p>
    <w:bookmarkEnd w:id="42"/>
    <w:bookmarkStart w:id="45" w:name="data-availability"/>
    <w:p>
      <w:pPr>
        <w:pStyle w:val="Heading1"/>
      </w:pPr>
      <w:r>
        <w:t xml:space="preserve">Data Availability</w:t>
      </w:r>
    </w:p>
    <w:p>
      <w:pPr>
        <w:pStyle w:val="FirstParagraph"/>
      </w:pPr>
      <w:r>
        <w:t xml:space="preserve">The domain list, crawl logs, extracted colour pairs, and analysis code are permanently archived and openly accessible in Zenodo at</w:t>
      </w:r>
      <w:r>
        <w:t xml:space="preserve"> </w:t>
      </w:r>
      <w:hyperlink r:id="rId43">
        <w:r>
          <w:rPr>
            <w:rStyle w:val="Hyperlink"/>
          </w:rPr>
          <w:t xml:space="preserve">https://doi.org/10.5281/zenodo.22907769</w:t>
        </w:r>
      </w:hyperlink>
      <w:r>
        <w:t xml:space="preserve"> </w:t>
      </w:r>
      <w:r>
        <w:t xml:space="preserve">and GitHub at</w:t>
      </w:r>
      <w:r>
        <w:t xml:space="preserve"> </w:t>
      </w:r>
      <w:hyperlink r:id="rId44">
        <w:r>
          <w:rPr>
            <w:rStyle w:val="Hyperlink"/>
          </w:rPr>
          <w:t xml:space="preserve">https://github.com/JuanAvilesP3/jged-contraste-cromatico</w:t>
        </w:r>
      </w:hyperlink>
      <w:r>
        <w:t xml:space="preserve">.</w:t>
      </w:r>
    </w:p>
    <w:bookmarkEnd w:id="45"/>
    <w:bookmarkStart w:id="46" w:name="funding"/>
    <w:p>
      <w:pPr>
        <w:pStyle w:val="Heading1"/>
      </w:pPr>
      <w:r>
        <w:t xml:space="preserve">Funding</w:t>
      </w:r>
    </w:p>
    <w:p>
      <w:pPr>
        <w:pStyle w:val="FirstParagraph"/>
      </w:pPr>
      <w:r>
        <w:t xml:space="preserve">This research received no specific grant from any funding agency in the public, commercial, or not-for-profit sectors. It was conducted within the academic research framework of Escuela Superior Politécnica de Chimborazo (ESPOCH).</w:t>
      </w:r>
    </w:p>
    <w:bookmarkEnd w:id="46"/>
    <w:bookmarkStart w:id="47" w:name="conflict-of-interest"/>
    <w:p>
      <w:pPr>
        <w:pStyle w:val="Heading1"/>
      </w:pPr>
      <w:r>
        <w:t xml:space="preserve">Conflict of Interest</w:t>
      </w:r>
    </w:p>
    <w:p>
      <w:pPr>
        <w:pStyle w:val="FirstParagraph"/>
      </w:pPr>
      <w:r>
        <w:t xml:space="preserve">The authors declare that they have no conflict of interest.</w:t>
      </w:r>
    </w:p>
    <w:bookmarkEnd w:id="47"/>
    <w:bookmarkStart w:id="48" w:name="use-of-generative-ai"/>
    <w:p>
      <w:pPr>
        <w:pStyle w:val="Heading1"/>
      </w:pPr>
      <w:r>
        <w:t xml:space="preserve">Use of Generative AI</w:t>
      </w:r>
    </w:p>
    <w:p>
      <w:pPr>
        <w:pStyle w:val="FirstParagraph"/>
      </w:pPr>
      <w:r>
        <w:t xml:space="preserve">The authors used generative AI tools (large language models)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8"/>
    <w:bookmarkStart w:id="49" w:name="author-contributions"/>
    <w:p>
      <w:pPr>
        <w:pStyle w:val="Heading1"/>
      </w:pPr>
      <w:r>
        <w:t xml:space="preserve">Author Contributions</w:t>
      </w:r>
    </w:p>
    <w:p>
      <w:pPr>
        <w:pStyle w:val="FirstParagraph"/>
      </w:pPr>
      <w:r>
        <w:rPr>
          <w:b/>
          <w:bCs/>
        </w:rPr>
        <w:t xml:space="preserve">Juan Pablo Aviles-Esparza:</w:t>
      </w:r>
      <w:r>
        <w:t xml:space="preserve"> </w:t>
      </w:r>
      <w:r>
        <w:t xml:space="preserve">Conceptualization, Methodology, Software, Writing - Original Draft.</w:t>
      </w:r>
      <w:r>
        <w:t xml:space="preserve"> </w:t>
      </w:r>
      <w:r>
        <w:rPr>
          <w:b/>
          <w:bCs/>
        </w:rPr>
        <w:t xml:space="preserve">Italo Javier Tenempaguay-Granizo:</w:t>
      </w:r>
      <w:r>
        <w:t xml:space="preserve"> </w:t>
      </w:r>
      <w:r>
        <w:t xml:space="preserve">Data Curation, Formal Analysis, Validation, Visualization, Writing - Review &amp; Editing.</w:t>
      </w:r>
      <w:r>
        <w:t xml:space="preserve"> </w:t>
      </w:r>
      <w:r>
        <w:rPr>
          <w:b/>
          <w:bCs/>
        </w:rPr>
        <w:t xml:space="preserve">Isaac David Torres-Paredes:</w:t>
      </w:r>
      <w:r>
        <w:t xml:space="preserve"> </w:t>
      </w:r>
      <w:r>
        <w:t xml:space="preserve">Supervision, Project Administration, Resources, Writing - Review &amp; Editing.</w:t>
      </w:r>
    </w:p>
    <w:bookmarkEnd w:id="49"/>
    <w:bookmarkStart w:id="65"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50">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51">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2">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3">
        <w:r>
          <w:rPr>
            <w:rStyle w:val="Hyperlink"/>
          </w:rPr>
          <w:t xml:space="preserve">https://doi.org/10.1109/ACCESS.2019.2939068</w:t>
        </w:r>
      </w:hyperlink>
      <w:r>
        <w:t xml:space="preserve">.</w:t>
      </w:r>
    </w:p>
    <w:p>
      <w:pPr>
        <w:pStyle w:val="BodyText"/>
        <w:jc w:val="left"/>
      </w:pPr>
      <w:r>
        <w:t xml:space="preserve">Acosta-Vargas, P., Zarate-Estrella, S., Mantilla-Vaca, F., Novillo-Villegas, S., Chimbo, C. &amp; Luj</w:t>
      </w:r>
      <w:r>
        <w:t xml:space="preserve">á</w:t>
      </w:r>
      <w:r>
        <w:t xml:space="preserve">n-Mora, S.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4">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 pp. 1–4.</w:t>
      </w:r>
      <w:r>
        <w:t xml:space="preserve"> </w:t>
      </w:r>
      <w:hyperlink r:id="rId55">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(2007),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 S 014-4/E:2007 (ISO 11664-4:2008), CIE.</w:t>
      </w:r>
      <w:r>
        <w:br/>
      </w:r>
      <w:hyperlink r:id="rId56">
        <w:r>
          <w:rPr>
            <w:rStyle w:val="Hyperlink"/>
          </w:rPr>
          <w:t xml:space="preserve">https://cie.co.at/publications/colorimetry-part-4-cie-1976-lab-colour-space-0</w:t>
        </w:r>
      </w:hyperlink>
    </w:p>
    <w:p>
      <w:pPr>
        <w:pStyle w:val="BodyText"/>
        <w:jc w:val="left"/>
      </w:pPr>
      <w:r>
        <w:t xml:space="preserve">Jović, A., Žiljak Stanimirović, I., Mikota, M. &amp; Mandić, L. (2026),</w:t>
      </w:r>
      <w:r>
        <w:t xml:space="preserve"> </w:t>
      </w:r>
      <w:r>
        <w:t xml:space="preserve">‘Design recommendations and future prospects for text legibility in augmented reality’</w:t>
      </w:r>
      <w:r>
        <w:t xml:space="preserve">,</w:t>
      </w:r>
      <w:r>
        <w:t xml:space="preserve"> </w:t>
      </w:r>
      <w:r>
        <w:rPr>
          <w:i/>
          <w:iCs/>
        </w:rPr>
        <w:t xml:space="preserve">Journal of Graphic Engineering and Design</w:t>
      </w:r>
      <w:r>
        <w:t xml:space="preserve"> </w:t>
      </w:r>
      <w:r>
        <w:rPr>
          <w:b/>
          <w:bCs/>
        </w:rPr>
        <w:t xml:space="preserve">17</w:t>
      </w:r>
      <w:r>
        <w:t xml:space="preserve">(3), 19–34.</w:t>
      </w:r>
      <w:r>
        <w:t xml:space="preserve"> </w:t>
      </w:r>
      <w:hyperlink r:id="rId57">
        <w:r>
          <w:rPr>
            <w:rStyle w:val="Hyperlink"/>
          </w:rPr>
          <w:t xml:space="preserve">https://doi.org/10.24867/JGED-2026-3-019</w:t>
        </w:r>
      </w:hyperlink>
      <w:r>
        <w:t xml:space="preserve">.</w:t>
      </w:r>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8">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 17–37.</w:t>
      </w:r>
      <w:r>
        <w:t xml:space="preserve"> </w:t>
      </w:r>
      <w:hyperlink r:id="rId59">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60">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61">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2">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3">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current version 12 December 2024. Available:</w:t>
      </w:r>
      <w:r>
        <w:t xml:space="preserve"> </w:t>
      </w:r>
      <w:hyperlink r:id="rId64">
        <w:r>
          <w:rPr>
            <w:rStyle w:val="Hyperlink"/>
          </w:rPr>
          <w:t xml:space="preserve">https://www.w3.org/TR/WCAG22/</w:t>
        </w:r>
      </w:hyperlink>
      <w:r>
        <w:t xml:space="preserve">.</w:t>
      </w:r>
    </w:p>
    <w:bookmarkEnd w:id="65"/>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60"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1" Type="http://schemas.openxmlformats.org/officeDocument/2006/relationships/hyperlink" Target="https://doi.org/10.24867/JGED-2021-2-029" TargetMode="External"/><Relationship Id="rId63" Type="http://schemas.openxmlformats.org/officeDocument/2006/relationships/hyperlink" Target="https://doi.org/10.24867/JGED-2022-3-051" TargetMode="External"/><Relationship Id="rId58" Type="http://schemas.openxmlformats.org/officeDocument/2006/relationships/hyperlink" Target="https://doi.org/10.24867/JGED-2024-4-045" TargetMode="External"/><Relationship Id="rId59" Type="http://schemas.openxmlformats.org/officeDocument/2006/relationships/hyperlink" Target="https://doi.org/10.24867/JGED-2025-1-017" TargetMode="External"/><Relationship Id="rId57" Type="http://schemas.openxmlformats.org/officeDocument/2006/relationships/hyperlink" Target="https://doi.org/10.24867/JGED-2026-3-019"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2" Type="http://schemas.openxmlformats.org/officeDocument/2006/relationships/hyperlink" Target="https://webaim.org/projects/million/" TargetMode="External"/><Relationship Id="rId64"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60"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1" Type="http://schemas.openxmlformats.org/officeDocument/2006/relationships/hyperlink" Target="https://doi.org/10.24867/JGED-2021-2-029" TargetMode="External"/><Relationship Id="rId63" Type="http://schemas.openxmlformats.org/officeDocument/2006/relationships/hyperlink" Target="https://doi.org/10.24867/JGED-2022-3-051" TargetMode="External"/><Relationship Id="rId58" Type="http://schemas.openxmlformats.org/officeDocument/2006/relationships/hyperlink" Target="https://doi.org/10.24867/JGED-2024-4-045" TargetMode="External"/><Relationship Id="rId59" Type="http://schemas.openxmlformats.org/officeDocument/2006/relationships/hyperlink" Target="https://doi.org/10.24867/JGED-2025-1-017" TargetMode="External"/><Relationship Id="rId57" Type="http://schemas.openxmlformats.org/officeDocument/2006/relationships/hyperlink" Target="https://doi.org/10.24867/JGED-2026-3-019"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2" Type="http://schemas.openxmlformats.org/officeDocument/2006/relationships/hyperlink" Target="https://webaim.org/projects/million/" TargetMode="External"/><Relationship Id="rId64"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2026-10-17T02:43:31Z</dcterms:created>
  <dcterms:modified xsi:type="dcterms:W3CDTF">2026-10-17T02:43:31Z</dcterms:modified>
</cp:coreProperties>
</file>

<file path=docProps/custom.xml><?xml version="1.0" encoding="utf-8"?>
<Properties xmlns="http://schemas.openxmlformats.org/officeDocument/2006/custom-properties" xmlns:vt="http://schemas.openxmlformats.org/officeDocument/2006/docPropsVTypes"/>
</file>