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76" w:lineRule="auto"/>
        <w:jc w:val="center"/>
      </w:pPr>
      <w:r>
        <w:rPr>
          <w:rFonts w:ascii="Times New Roman" w:hAnsi="Times New Roman"/>
          <w:b/>
          <w:bCs/>
          <w:color w:val="000000"/>
          <w:sz w:val="20"/>
          <w:szCs w:val="30"/>
        </w:rPr>
        <w:t xml:space="preserve">Chromatic Accessibility in Latin American University Websites: A Large-Scale Survey of WCAG Contrast Compliance</w:t>
      </w:r>
    </w:p>
    <w:p>
      <w:pPr>
        <w:spacing w:after="80" w:before="100" w:line="276" w:lineRule="auto"/>
      </w:pPr>
      <w:r>
        <w:rPr>
          <w:rFonts w:ascii="Times New Roman" w:hAnsi="Times New Roman"/>
          <w:b/>
          <w:bCs/>
          <w:color w:val="000000"/>
          <w:sz w:val="20"/>
          <w:szCs w:val="24"/>
        </w:rPr>
        <w:t xml:space="preserve">Abstract</w:t>
      </w:r>
    </w:p>
    <w:p>
      <w:pPr>
        <w:spacing w:after="80" w:line="276" w:lineRule="auto"/>
      </w:pPr>
      <w:r>
        <w:rPr>
          <w:rFonts w:ascii="Times New Roman" w:hAnsi="Times New Roman"/>
          <w:i w:val="false"/>
          <w:iCs w:val="false"/>
          <w:color w:val="000000"/>
          <w:sz w:val="20"/>
          <w:szCs w:val="22"/>
        </w:rPr>
        <w:t xml:space="preserve">Web accessibility audits at scale have historically concentrated on North American and European institutions, leaving Latin American higher education largely unexamined. We crawled the homepages of 464 Latin American university websites across 17 countries and successfully extracted computed text/background color pairs from 259 of them (41,360 pairs in total). Each pair was converted from sRGB to CIELAB and evaluated against the WCAG 2.2 contrast thresholds, with the axe-core accessibility engine used as an independent cross-check. We find that 21.6% of all color pairs fail the AA threshold, and 93.5% of sites contain at least one critical failure. A pair-level chi-square test suggests compliance differs by country (χ²=1625.04, df=16, p &lt; 0.001, Cramér's V = 0.198), but because color pairs are clustered within sites rather than independent, we treat this as exploratory: a site-level test on the true unit of analysis (256 sites, countries with ≥5 sites) is not significant (χ² = 22.98, df = 15, p = 0.085). We also checked whether a within-site typography effect (large text failing less often) would be more robust to this clustering concern; it is not: the effect does not survive site-clustered robust standard errors (p = 0.473), though continuous font size in pixels retains a small, marginally significant association with failure (p = 0.027). Unsupervised clustering of the failing pairs in the full CIELAB L∗a∗b∗ space confirms our initial hypothesis rather than complicating it: near-neutral, low-chroma clusters consistent with the “light gray on white” pattern account for 80.0% of all failing pairs, with four smaller chromatic clusters spanning the remaining 20.0%.</w:t>
      </w:r>
    </w:p>
    <w:p>
      <w:pPr>
        <w:pStyle w:val="Heading1"/>
        <w:spacing w:after="80" w:before="200"/>
      </w:pPr>
      <w:r>
        <w:rPr>
          <w:rFonts w:ascii="Times New Roman" w:hAnsi="Times New Roman"/>
          <w:b/>
          <w:color w:val="000000"/>
        </w:rPr>
        <w:t xml:space="preserve">1. Introduction</w:t>
      </w:r>
    </w:p>
    <w:p>
      <w:pPr>
        <w:spacing w:after="80" w:line="276" w:lineRule="auto"/>
      </w:pPr>
      <w:r>
        <w:rPr>
          <w:rFonts w:ascii="Times New Roman" w:hAnsi="Times New Roman"/>
          <w:color w:val="000000"/>
          <w:sz w:val="20"/>
          <w:szCs w:val="22"/>
        </w:rPr>
        <w:t xml:space="preserve">Web accessibility is frequently framed as a compliance checkbox rather than as a problem of information design: which visual choices allow a message to be perceived by the range of readers who will actually encounter it. Color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spacing w:after="80" w:line="276" w:lineRule="auto"/>
      </w:pPr>
      <w:r>
        <w:rPr>
          <w:rFonts w:ascii="Times New Roman" w:hAnsi="Times New Roman"/>
          <w:color w:val="000000"/>
          <w:sz w:val="20"/>
          <w:szCs w:val="22"/>
        </w:rPr>
        <w:t xml:space="preserve">Large-scale, empirical audits of contrast compliance exist, most notably WebAIM's annual scan of the top one million global home pages (WebAIM, 2026), which finds low-contrast text on 83.9% of pages and identifies it as the single most common accessibility failure detected, unchanged in rank for seven consecutive years. Such global scans report an aggregate world figure, though, and are not designed to, and do not, break results out for Latin American higher education specifically. Latin American higher education, more than 460 institutions across 19 countries,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spacing w:after="80" w:line="276" w:lineRule="auto"/>
      </w:pPr>
      <w:r>
        <w:rPr>
          <w:rFonts w:ascii="Times New Roman" w:hAnsi="Times New Roman"/>
          <w:color w:val="000000"/>
          <w:sz w:val="20"/>
          <w:szCs w:val="22"/>
        </w:rP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color pairs, and classify every pair against the WCAG 2.2 (W3C, 2023) contrast thresholds. We ask two questions. First, at what rate do these institutions fail contrast requirements, and does that rate vary systematically by country? Second, what visual pattern, if any, characterizes the colors involved in a failure? The second question matters because the answer determines what kind of intervention would actually help: a narrow pattern (e.g., light gray body text) suggests a simple style-guide fix, while a diffuse one suggests a more structural design-literacy problem.</w:t>
      </w:r>
    </w:p>
    <w:p>
      <w:pPr>
        <w:spacing w:after="80" w:line="276" w:lineRule="auto"/>
      </w:pPr>
      <w:r>
        <w:rPr>
          <w:rFonts w:ascii="Times New Roman" w:hAnsi="Times New Roman"/>
          <w:color w:val="000000"/>
          <w:sz w:val="20"/>
          <w:szCs w:val="22"/>
        </w:rP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characterization, in the full CIELAB color space, of the visual patterns underlying contrast failures in this region, showing that two low-chroma, near-neutral clusters (a near-white and a mid-gray pattern) jointly dominate, with four smaller chromatic clusters accounting for the remainder.</w:t>
      </w:r>
    </w:p>
    <w:p>
      <w:pPr>
        <w:pStyle w:val="Heading1"/>
        <w:spacing w:after="80" w:before="200"/>
      </w:pPr>
      <w:r>
        <w:rPr>
          <w:rFonts w:ascii="Times New Roman" w:hAnsi="Times New Roman"/>
          <w:b/>
          <w:color w:val="000000"/>
        </w:rPr>
        <w:t xml:space="preserve">2. Related Work</w:t>
      </w:r>
    </w:p>
    <w:p>
      <w:pPr>
        <w:spacing w:after="80" w:line="276" w:lineRule="auto"/>
      </w:pPr>
      <w:r>
        <w:rPr>
          <w:rFonts w:ascii="Times New Roman" w:hAnsi="Times New Roman"/>
          <w:color w:val="000000"/>
          <w:sz w:val="20"/>
          <w:szCs w:val="22"/>
        </w:rPr>
        <w:t xml:space="preserve">Contrast and legibility research inside the graphic design literature has largely focused on typography and reading performance rather than on regulatory thresholds. Weingerl et al.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and Suvakunta (2025) conducted a technical review of typeface choice, type size, and color contrast in government mobile applications, and, closer to our own setting, found systematic WCAG non-compliance in public-sector digital products, a pattern we replicate, in a different modality and region, for public university websites. Ofosu-Asare (2024) examined usability and design evaluation techniques for online learning environments, underscoring that accessibility in educational digital products is usually assessed qualitatively or on small samples rather than through a large-scale automated survey, which is the gap this paper addresses directly for the chromatic dimension.</w:t>
      </w:r>
    </w:p>
    <w:p>
      <w:pPr>
        <w:pStyle w:val="Heading1"/>
        <w:spacing w:after="80" w:before="200"/>
      </w:pPr>
      <w:r>
        <w:rPr>
          <w:rFonts w:ascii="Times New Roman" w:hAnsi="Times New Roman"/>
          <w:b/>
          <w:color w:val="000000"/>
        </w:rPr>
        <w:t xml:space="preserve">3. Methodology</w:t>
      </w:r>
    </w:p>
    <w:p>
      <w:pPr>
        <w:spacing w:after="80" w:line="276" w:lineRule="auto"/>
      </w:pPr>
      <w:r>
        <w:rPr>
          <w:rFonts w:ascii="Times New Roman" w:hAnsi="Times New Roman"/>
          <w:color w:val="000000"/>
          <w:sz w:val="20"/>
          <w:szCs w:val="24"/>
        </w:rPr>
        <w:t xml:space="preserve">3.1 Site selection</w:t>
      </w:r>
    </w:p>
    <w:p>
      <w:pPr>
        <w:spacing w:after="80" w:line="276" w:lineRule="auto"/>
      </w:pPr>
      <w:r>
        <w:rPr>
          <w:rFonts w:ascii="Times New Roman" w:hAnsi="Times New Roman"/>
          <w:color w:val="000000"/>
          <w:sz w:val="20"/>
          <w:szCs w:val="22"/>
        </w:rPr>
        <w:t xml:space="preserve">We built the candidate list from the </w:t>
      </w:r>
      <w:r>
        <w:rPr>
          <w:rFonts w:ascii="Times New Roman" w:hAnsi="Times New Roman"/>
          <w:color w:val="000000"/>
          <w:sz w:val="20"/>
          <w:szCs w:val="22"/>
        </w:rPr>
        <w:t xml:space="preserve">Hipo/university-domains-list</w:t>
      </w:r>
      <w:r>
        <w:rPr>
          <w:rFonts w:ascii="Times New Roman" w:hAnsi="Times New Roman"/>
          <w:color w:val="000000"/>
          <w:sz w:val="20"/>
          <w:szCs w:val="22"/>
        </w:rPr>
        <w:t xml:space="preserve"> open dataset, filtered to the 19 countries of Latin America, and drew a stratified random sample across countries (capped per country to avoid Brazil and Mexico dominating the list). The final list contained 464 domains across 17 countries; the source dataset contained no entries for Bolivia or Venezuela, which are consequently absent from this study (see Limitations).</w:t>
      </w:r>
    </w:p>
    <w:p>
      <w:pPr>
        <w:spacing w:after="80" w:line="276" w:lineRule="auto"/>
      </w:pPr>
      <w:r>
        <w:rPr>
          <w:rFonts w:ascii="Times New Roman" w:hAnsi="Times New Roman"/>
          <w:color w:val="000000"/>
          <w:sz w:val="20"/>
          <w:szCs w:val="24"/>
        </w:rPr>
        <w:t xml:space="preserve">3.2 Crawling</w:t>
      </w:r>
    </w:p>
    <w:p>
      <w:pPr>
        <w:spacing w:after="80" w:line="276" w:lineRule="auto"/>
      </w:pPr>
      <w:r>
        <w:rPr>
          <w:rFonts w:ascii="Times New Roman" w:hAnsi="Times New Roman"/>
          <w:color w:val="000000"/>
          <w:sz w:val="20"/>
          <w:szCs w:val="22"/>
        </w:rPr>
        <w:t xml:space="preserve">Each homepage was visited with a headless Chromium browser (Playwright), identifying our crawler with a descriptive user agent and honoring </w:t>
      </w:r>
      <w:r>
        <w:rPr>
          <w:rFonts w:ascii="Times New Roman" w:cs="Courier New" w:eastAsia="Courier New" w:hAnsi="Times New Roman"/>
          <w:color w:val="000000"/>
          <w:sz w:val="20"/>
          <w:szCs w:val="22"/>
        </w:rPr>
        <w:t xml:space="preserve">robots.txt</w:t>
      </w:r>
      <w:r>
        <w:rPr>
          <w:rFonts w:ascii="Times New Roman" w:hAnsi="Times New Roman"/>
          <w:color w:val="000000"/>
          <w:sz w:val="20"/>
          <w:szCs w:val="22"/>
        </w:rPr>
        <w:t xml:space="preserve"> (fetched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 </w:t>
      </w:r>
      <w:r>
        <w:rPr>
          <w:rFonts w:ascii="Times New Roman" w:cs="Courier New" w:eastAsia="Courier New" w:hAnsi="Times New Roman"/>
          <w:color w:val="000000"/>
          <w:sz w:val="20"/>
          <w:szCs w:val="22"/>
        </w:rPr>
        <w:t xml:space="preserve">robots.txt</w:t>
      </w:r>
      <w:r>
        <w:rPr>
          <w:rFonts w:ascii="Times New Roman" w:hAnsi="Times New Roman"/>
          <w:color w:val="000000"/>
          <w:sz w:val="20"/>
          <w:szCs w:val="22"/>
        </w:rPr>
        <w:t xml:space="preserve"> (see Table 1).</w:t>
      </w:r>
    </w:p>
    <w:p>
      <w:pPr>
        <w:spacing w:after="80" w:line="276" w:lineRule="auto"/>
      </w:pPr>
      <w:r>
        <w:rPr>
          <w:rFonts w:ascii="Times New Roman" w:hAnsi="Times New Roman"/>
          <w:color w:val="000000"/>
          <w:sz w:val="20"/>
          <w:szCs w:val="24"/>
        </w:rPr>
        <w:t xml:space="preserve">3.3 Color pair extraction</w:t>
      </w:r>
    </w:p>
    <w:p>
      <w:pPr>
        <w:spacing w:after="80" w:line="276" w:lineRule="auto"/>
      </w:pPr>
      <w:r>
        <w:rPr>
          <w:rFonts w:ascii="Times New Roman" w:hAnsi="Times New Roman"/>
          <w:color w:val="000000"/>
          <w:sz w:val="20"/>
          <w:szCs w:val="22"/>
        </w:rPr>
        <w:t xml:space="preserve">For each of the 278 reachable sites we revisited the live page a second time and, via </w:t>
      </w:r>
      <w:r>
        <w:rPr>
          <w:rFonts w:ascii="Times New Roman" w:cs="Courier New" w:eastAsia="Courier New" w:hAnsi="Times New Roman"/>
          <w:color w:val="000000"/>
          <w:sz w:val="20"/>
          <w:szCs w:val="22"/>
        </w:rPr>
        <w:t xml:space="preserve">getComputedStyle()</w:t>
      </w:r>
      <w:r>
        <w:rPr>
          <w:rFonts w:ascii="Times New Roman" w:hAnsi="Times New Roman"/>
          <w:color w:val="000000"/>
          <w:sz w:val="20"/>
          <w:szCs w:val="22"/>
        </w:rPr>
        <w:t xml:space="preserve">, extracted every visible text node's computed text color together with its </w:t>
      </w:r>
      <w:r>
        <w:rPr>
          <w:rFonts w:ascii="Times New Roman" w:hAnsi="Times New Roman"/>
          <w:color w:val="000000"/>
          <w:sz w:val="20"/>
          <w:szCs w:val="22"/>
        </w:rPr>
        <w:t xml:space="preserve">effective</w:t>
      </w:r>
      <w:r>
        <w:rPr>
          <w:rFonts w:ascii="Times New Roman" w:hAnsi="Times New Roman"/>
          <w:color w:val="000000"/>
          <w:sz w:val="20"/>
          <w:szCs w:val="22"/>
        </w:rPr>
        <w:t xml:space="preserve"> background color, resolved by walking up the DOM ancestor chain until a non-transparent background is found, since a text element's immediate parent is frequently transparent. Elements with zero width/height, </w:t>
      </w:r>
      <w:r>
        <w:rPr>
          <w:rFonts w:ascii="Times New Roman" w:cs="Courier New" w:eastAsia="Courier New" w:hAnsi="Times New Roman"/>
          <w:color w:val="000000"/>
          <w:sz w:val="20"/>
          <w:szCs w:val="22"/>
        </w:rPr>
        <w:t xml:space="preserve">display:none</w:t>
      </w:r>
      <w:r>
        <w:rPr>
          <w:rFonts w:ascii="Times New Roman" w:hAnsi="Times New Roman"/>
          <w:color w:val="000000"/>
          <w:sz w:val="20"/>
          <w:szCs w:val="22"/>
        </w:rPr>
        <w:t xml:space="preserve">, </w:t>
      </w:r>
      <w:r>
        <w:rPr>
          <w:rFonts w:ascii="Times New Roman" w:cs="Courier New" w:eastAsia="Courier New" w:hAnsi="Times New Roman"/>
          <w:color w:val="000000"/>
          <w:sz w:val="20"/>
          <w:szCs w:val="22"/>
        </w:rPr>
        <w:t xml:space="preserve">visibility:hidden</w:t>
      </w:r>
      <w:r>
        <w:rPr>
          <w:rFonts w:ascii="Times New Roman" w:hAnsi="Times New Roman"/>
          <w:color w:val="000000"/>
          <w:sz w:val="20"/>
          <w:szCs w:val="22"/>
        </w:rPr>
        <w:t xml:space="preserve">, or zero opacity were discarded. This step requires a live browser rather than the raw HTML saved during crawling, because a serialized DOM does not inline externally linked CSS; computing style from the saved markup alone would silently fall back to browser defaults. This yielded 41,360 color pairs from 259 sites (19 sites returned no usable pairs, typically due to navigation during evaluation).</w:t>
      </w:r>
    </w:p>
    <w:p>
      <w:pPr>
        <w:spacing w:after="80" w:line="276" w:lineRule="auto"/>
      </w:pPr>
      <w:r>
        <w:rPr>
          <w:rFonts w:ascii="Times New Roman" w:hAnsi="Times New Roman"/>
          <w:color w:val="000000"/>
          <w:sz w:val="20"/>
          <w:szCs w:val="24"/>
        </w:rPr>
        <w:t xml:space="preserve">3.4 Contrast calculation and cross-validation</w:t>
      </w:r>
    </w:p>
    <w:p>
      <w:pPr>
        <w:spacing w:after="80" w:line="276" w:lineRule="auto"/>
      </w:pPr>
      <w:r>
        <w:rPr>
          <w:rFonts w:ascii="Times New Roman" w:hAnsi="Times New Roman"/>
          <w:color w:val="000000"/>
          <w:sz w:val="20"/>
          <w:szCs w:val="22"/>
        </w:rPr>
        <w:t xml:space="preserve">Each pair's WCAG relative luminance and contrast ratio were computed directly from sRGB, and each pair was independently converted from sRGB to CIELAB (CIE, 1976) (D65 illuminant) for the clustering analysis. As a cross-check, we additionally ran the </w:t>
      </w:r>
      <w:r>
        <w:rPr>
          <w:rFonts w:ascii="Times New Roman" w:cs="Courier New" w:eastAsia="Courier New" w:hAnsi="Times New Roman"/>
          <w:color w:val="000000"/>
          <w:sz w:val="20"/>
          <w:szCs w:val="22"/>
        </w:rPr>
        <w:t xml:space="preserve">axe-core</w:t>
      </w:r>
      <w:r>
        <w:rPr>
          <w:rFonts w:ascii="Times New Roman" w:hAnsi="Times New Roman"/>
          <w:color w:val="000000"/>
          <w:sz w:val="20"/>
          <w:szCs w:val="22"/>
        </w:rPr>
        <w:t xml:space="preserve"> accessibility engine (the library underlying most commercial accessibility linters) against the same live page and recorded its color-contrast violation and pass counts.</w:t>
      </w:r>
    </w:p>
    <w:p>
      <w:pPr>
        <w:spacing w:after="80" w:line="276" w:lineRule="auto"/>
      </w:pPr>
      <w:r>
        <w:rPr>
          <w:rFonts w:ascii="Times New Roman" w:hAnsi="Times New Roman"/>
          <w:color w:val="000000"/>
          <w:sz w:val="20"/>
          <w:szCs w:val="24"/>
        </w:rPr>
        <w:t xml:space="preserve">3.5 Classification and aggregation</w:t>
      </w:r>
    </w:p>
    <w:p>
      <w:pPr>
        <w:spacing w:after="80" w:line="276" w:lineRule="auto"/>
      </w:pPr>
      <w:r>
        <w:rPr>
          <w:rFonts w:ascii="Times New Roman" w:hAnsi="Times New Roman"/>
          <w:color w:val="000000"/>
          <w:sz w:val="20"/>
          <w:szCs w:val="22"/>
        </w:rPr>
        <w:t xml:space="preserve">Following WCAG 2.2, each pair was classified as </w:t>
      </w:r>
      <w:r>
        <w:rPr>
          <w:rFonts w:ascii="Times New Roman" w:hAnsi="Times New Roman"/>
          <w:color w:val="000000"/>
          <w:sz w:val="20"/>
          <w:szCs w:val="22"/>
        </w:rPr>
        <w:t xml:space="preserve">fail</w:t>
      </w:r>
      <w:r>
        <w:rPr>
          <w:rFonts w:ascii="Times New Roman" w:hAnsi="Times New Roman"/>
          <w:color w:val="000000"/>
          <w:sz w:val="20"/>
          <w:szCs w:val="22"/>
        </w:rPr>
        <w:t xml:space="preserve">, </w:t>
      </w:r>
      <w:r>
        <w:rPr>
          <w:rFonts w:ascii="Times New Roman" w:hAnsi="Times New Roman"/>
          <w:color w:val="000000"/>
          <w:sz w:val="20"/>
          <w:szCs w:val="22"/>
        </w:rPr>
        <w:t xml:space="preserve">AA</w:t>
      </w:r>
      <w:r>
        <w:rPr>
          <w:rFonts w:ascii="Times New Roman" w:hAnsi="Times New Roman"/>
          <w:color w:val="000000"/>
          <w:sz w:val="20"/>
          <w:szCs w:val="22"/>
        </w:rPr>
        <w:t xml:space="preserve">, or </w:t>
      </w:r>
      <w:r>
        <w:rPr>
          <w:rFonts w:ascii="Times New Roman" w:hAnsi="Times New Roman"/>
          <w:color w:val="000000"/>
          <w:sz w:val="20"/>
          <w:szCs w:val="22"/>
        </w:rPr>
        <w:t xml:space="preserve">AAA</w:t>
      </w:r>
      <w:r>
        <w:rPr>
          <w:rFonts w:ascii="Times New Roman" w:hAnsi="Times New Roman"/>
          <w:color w:val="000000"/>
          <w:sz w:val="20"/>
          <w:szCs w:val="22"/>
        </w:rPr>
        <w:t xml:space="preserve"> using thresholds that depend on text size: 3:1 (AA) / 4.5:1 (AAA) for large text (≥24px, or ≥18.66px bold), and 4.5:1 (AA) / 7:1 (AAA) otherwise. Results were aggregated per site (median ratio, % of pairs failing AA, whether the site has at least one critical failure).</w:t>
      </w:r>
    </w:p>
    <w:p>
      <w:pPr>
        <w:spacing w:after="80" w:line="276" w:lineRule="auto"/>
      </w:pPr>
      <w:r>
        <w:rPr>
          <w:rFonts w:ascii="Times New Roman" w:hAnsi="Times New Roman"/>
          <w:color w:val="000000"/>
          <w:sz w:val="20"/>
          <w:szCs w:val="24"/>
        </w:rPr>
        <w:t xml:space="preserve">3.6 Statistical analysis</w:t>
      </w:r>
    </w:p>
    <w:p>
      <w:pPr>
        <w:spacing w:after="80" w:line="276" w:lineRule="auto"/>
      </w:pPr>
      <w:r>
        <w:rPr>
          <w:rFonts w:ascii="Times New Roman" w:hAnsi="Times New Roman"/>
          <w:color w:val="000000"/>
          <w:sz w:val="20"/>
          <w:szCs w:val="22"/>
        </w:rPr>
        <w:t xml:space="preserve">We tested independence between country and AA compliance with a χ² test (continuity-corrected, restricted to countries with ≥30 pairs) and report Cramér's V as effect size. This test, like any test run on the 41,360-pair table, treats color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 χ² test on each site's binary critical-failure status, and a Kruskal-Wallis test on each site's continuous %AA-failure, both restricted to the 16 countries with ≥5 sites (256 of 259 sites). We fit a logistic regression of pair-level failure on country, font size, and whether the text qualifies as “large,” and repeat it with site-clustered robust standard errors (generalized estimating equations, independence working correlation, clustered by site) to check which effects survive proper clustering rather than only the country effect. We clustered the failing pairs' text-color coordinates in the full, standardized CIELAB L∗a∗b∗ space with k-means, rather than the a∗b∗ chroma plane alone, since WCAG failure is a function of luminance and a chroma-only clustering would place every achromatic color at the origin regardless of lightness; we searched k ∈ {2,…,20} for a silhouette-optimal solution before fixing k = 6 for interpretability (Results).</w:t>
      </w:r>
    </w:p>
    <w:p>
      <w:pPr>
        <w:pStyle w:val="Heading1"/>
        <w:spacing w:after="80" w:before="200"/>
      </w:pPr>
      <w:r>
        <w:rPr>
          <w:rFonts w:ascii="Times New Roman" w:hAnsi="Times New Roman"/>
          <w:b/>
          <w:color w:val="000000"/>
        </w:rPr>
        <w:t xml:space="preserve">4. Results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tblGrid>
      <w:tr>
        <w:trPr>
          <w:tblHeader/>
        </w:trPr>
        <w:tc>
          <w:tcPr>
            <w:tcW w:type="dxa" w:w="7200"/>
            <w:shd w:fill="D9D9D9" w:color="auto" w:val="clear"/>
          </w:tcPr>
          <w:p>
            <w:pPr>
              <w:spacing w:after="40" w:before="40"/>
            </w:pPr>
            <w:r>
              <w:rPr>
                <w:rFonts w:ascii="Times New Roman" w:hAnsi="Times New Roman"/>
                <w:b/>
                <w:bCs/>
                <w:color w:val="000000"/>
                <w:sz w:val="19"/>
                <w:szCs w:val="20"/>
              </w:rPr>
              <w:t xml:space="preserve">Outcome</w:t>
            </w:r>
          </w:p>
        </w:tc>
        <w:tc>
          <w:tcPr>
            <w:tcW w:type="dxa" w:w="1800"/>
            <w:shd w:fill="D9D9D9" w:color="auto" w:val="clear"/>
          </w:tcPr>
          <w:p>
            <w:pPr>
              <w:spacing w:after="40" w:before="40"/>
            </w:pPr>
            <w:r>
              <w:rPr>
                <w:rFonts w:ascii="Times New Roman" w:hAnsi="Times New Roman"/>
                <w:b/>
                <w:bCs/>
                <w:color w:val="000000"/>
                <w:sz w:val="19"/>
                <w:szCs w:val="20"/>
              </w:rPr>
              <w:t xml:space="preserve">Count</w:t>
            </w:r>
          </w:p>
        </w:tc>
      </w:tr>
      <w:tr>
        <w:tc>
          <w:tcPr>
            <w:tcW w:type="dxa" w:w="7200"/>
          </w:tcPr>
          <w:p>
            <w:pPr>
              <w:spacing w:after="40" w:before="40"/>
            </w:pPr>
            <w:r>
              <w:rPr>
                <w:rFonts w:ascii="Times New Roman" w:hAnsi="Times New Roman"/>
                <w:color w:val="000000"/>
                <w:sz w:val="19"/>
                <w:szCs w:val="20"/>
              </w:rPr>
              <w:t xml:space="preserve">Successfully rendered</w:t>
            </w:r>
          </w:p>
        </w:tc>
        <w:tc>
          <w:tcPr>
            <w:tcW w:type="dxa" w:w="1800"/>
          </w:tcPr>
          <w:p>
            <w:pPr>
              <w:spacing w:after="40" w:before="40"/>
            </w:pPr>
            <w:r>
              <w:rPr>
                <w:rFonts w:ascii="Times New Roman" w:hAnsi="Times New Roman"/>
                <w:color w:val="000000"/>
                <w:sz w:val="19"/>
                <w:szCs w:val="20"/>
              </w:rPr>
              <w:t xml:space="preserve">278</w:t>
            </w:r>
          </w:p>
        </w:tc>
      </w:tr>
      <w:tr>
        <w:tc>
          <w:tcPr>
            <w:tcW w:type="dxa" w:w="7200"/>
          </w:tcPr>
          <w:p>
            <w:pPr>
              <w:spacing w:after="40" w:before="40"/>
            </w:pPr>
            <w:r>
              <w:rPr>
                <w:rFonts w:ascii="Times New Roman" w:hAnsi="Times New Roman"/>
                <w:color w:val="000000"/>
                <w:sz w:val="19"/>
                <w:szCs w:val="20"/>
              </w:rPr>
              <w:t xml:space="preserve">Unreachable / timed out / other error</w:t>
            </w:r>
          </w:p>
        </w:tc>
        <w:tc>
          <w:tcPr>
            <w:tcW w:type="dxa" w:w="1800"/>
          </w:tcPr>
          <w:p>
            <w:pPr>
              <w:spacing w:after="40" w:before="40"/>
            </w:pPr>
            <w:r>
              <w:rPr>
                <w:rFonts w:ascii="Times New Roman" w:hAnsi="Times New Roman"/>
                <w:color w:val="000000"/>
                <w:sz w:val="19"/>
                <w:szCs w:val="20"/>
              </w:rPr>
              <w:t xml:space="preserve">167</w:t>
            </w:r>
          </w:p>
        </w:tc>
      </w:tr>
      <w:tr>
        <w:tc>
          <w:tcPr>
            <w:tcW w:type="dxa" w:w="7200"/>
          </w:tcPr>
          <w:p>
            <w:pPr>
              <w:spacing w:after="40" w:before="40"/>
            </w:pPr>
            <w:r>
              <w:rPr>
                <w:rFonts w:ascii="Times New Roman" w:hAnsi="Times New Roman"/>
                <w:color w:val="000000"/>
                <w:sz w:val="19"/>
                <w:szCs w:val="20"/>
              </w:rPr>
              <w:t xml:space="preserve">Excluded by robots.txt</w:t>
            </w:r>
          </w:p>
        </w:tc>
        <w:tc>
          <w:tcPr>
            <w:tcW w:type="dxa" w:w="1800"/>
          </w:tcPr>
          <w:p>
            <w:pPr>
              <w:spacing w:after="40" w:before="40"/>
            </w:pPr>
            <w:r>
              <w:rPr>
                <w:rFonts w:ascii="Times New Roman" w:hAnsi="Times New Roman"/>
                <w:color w:val="000000"/>
                <w:sz w:val="19"/>
                <w:szCs w:val="20"/>
              </w:rPr>
              <w:t xml:space="preserve">19</w:t>
            </w:r>
          </w:p>
        </w:tc>
      </w:tr>
    </w:tbl>
    <w:p>
      <w:pPr>
        <w:spacing w:after="80" w:before="100" w:line="276" w:lineRule="auto"/>
      </w:pPr>
      <w:r>
        <w:rPr>
          <w:rFonts w:ascii="Times New Roman" w:hAnsi="Times New Roman"/>
          <w:b w:val="false"/>
          <w:bCs w:val="false"/>
          <w:i/>
          <w:iCs/>
          <w:color w:val="000000"/>
          <w:sz w:val="20"/>
          <w:szCs w:val="18"/>
        </w:rPr>
        <w:t xml:space="preserve">Table 1. Crawl outcomes for the 464 sampled domains.</w:t>
      </w:r>
    </w:p>
    <w:p>
      <w:pPr>
        <w:spacing w:after="80" w:line="276" w:lineRule="auto"/>
      </w:pPr>
      <w:r>
        <w:rPr>
          <w:rFonts w:ascii="Times New Roman" w:hAnsi="Times New Roman"/>
          <w:color w:val="000000"/>
          <w:sz w:val="20"/>
          <w:szCs w:val="22"/>
        </w:rPr>
        <w:t xml:space="preserve">Across the 41,360 extracted color pairs, 21.6% fail the applicable WCAG AA threshold, 16.6% meet AA but not AAA, and 61.8% meet AAA (Figure 1). At the site level, 93.5% of the 259 successfully analyzed homepages contain at least one critical (failing) pair, and the median site has 19.9%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p>
      <w:pPr>
        <w:spacing w:after="80" w:before="200" w:line="276" w:lineRule="auto"/>
        <w:jc w:val="center"/>
      </w:pPr>
      <w:r>
        <w:rPr>
          <w:rFonts w:ascii="Times New Roman" w:hAnsi="Times New Roman"/>
          <w:color w:val="000000"/>
          <w:sz w:val="20"/>
        </w:rPr>
        <w:drawing>
          <wp:inline distT="0" distB="0" distL="0" distR="0">
            <wp:extent cx="4572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86100"/>
                    </a:xfrm>
                    <a:prstGeom prst="rect">
                      <a:avLst/>
                    </a:prstGeom>
                  </pic:spPr>
                </pic:pic>
              </a:graphicData>
            </a:graphic>
          </wp:inline>
        </w:drawing>
      </w:r>
    </w:p>
    <w:p>
      <w:pPr>
        <w:spacing w:after="80" w:before="100" w:line="276" w:lineRule="auto"/>
      </w:pPr>
      <w:r>
        <w:rPr>
          <w:rFonts w:ascii="Times New Roman" w:hAnsi="Times New Roman"/>
          <w:b w:val="false"/>
          <w:bCs w:val="false"/>
          <w:i/>
          <w:iCs/>
          <w:color w:val="000000"/>
          <w:sz w:val="20"/>
          <w:szCs w:val="18"/>
        </w:rPr>
        <w:t xml:space="preserve">Figure 1. Distribution of WCAG contrast ratios across the 41,360 extracted color pairs, with the AA and AAA thresholds marked.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375"/>
        <w:gridCol w:w="1125"/>
        <w:gridCol w:w="2250"/>
        <w:gridCol w:w="2250"/>
      </w:tblGrid>
      <w:tr>
        <w:trPr>
          <w:tblHeader/>
        </w:trPr>
        <w:tc>
          <w:tcPr>
            <w:tcW w:type="dxa" w:w="3375"/>
            <w:shd w:fill="D9D9D9" w:color="auto" w:val="clear"/>
          </w:tcPr>
          <w:p>
            <w:pPr>
              <w:spacing w:after="40" w:before="40"/>
            </w:pPr>
            <w:r>
              <w:rPr>
                <w:rFonts w:ascii="Times New Roman" w:hAnsi="Times New Roman"/>
                <w:b/>
                <w:bCs/>
                <w:color w:val="000000"/>
                <w:sz w:val="19"/>
                <w:szCs w:val="20"/>
              </w:rPr>
              <w:t xml:space="preserve">Country</w:t>
            </w:r>
          </w:p>
        </w:tc>
        <w:tc>
          <w:tcPr>
            <w:tcW w:type="dxa" w:w="1125"/>
            <w:shd w:fill="D9D9D9" w:color="auto" w:val="clear"/>
          </w:tcPr>
          <w:p>
            <w:pPr>
              <w:spacing w:after="40" w:before="40"/>
            </w:pPr>
            <w:r>
              <w:rPr>
                <w:rFonts w:ascii="Times New Roman" w:hAnsi="Times New Roman"/>
                <w:b/>
                <w:bCs/>
                <w:color w:val="000000"/>
                <w:sz w:val="19"/>
                <w:szCs w:val="20"/>
              </w:rPr>
              <w:t xml:space="preserve">Sites</w:t>
            </w:r>
          </w:p>
        </w:tc>
        <w:tc>
          <w:tcPr>
            <w:tcW w:type="dxa" w:w="2250"/>
            <w:shd w:fill="D9D9D9" w:color="auto" w:val="clear"/>
          </w:tcPr>
          <w:p>
            <w:pPr>
              <w:spacing w:after="40" w:before="40"/>
            </w:pPr>
            <w:r>
              <w:rPr>
                <w:rFonts w:ascii="Times New Roman" w:hAnsi="Times New Roman"/>
                <w:b/>
                <w:bCs/>
                <w:color w:val="000000"/>
                <w:sz w:val="19"/>
                <w:szCs w:val="20"/>
              </w:rPr>
              <w:t xml:space="preserve">Median % AA-fail</w:t>
            </w:r>
          </w:p>
        </w:tc>
        <w:tc>
          <w:tcPr>
            <w:tcW w:type="dxa" w:w="2250"/>
            <w:shd w:fill="D9D9D9" w:color="auto" w:val="clear"/>
          </w:tcPr>
          <w:p>
            <w:pPr>
              <w:spacing w:after="40" w:before="40"/>
            </w:pPr>
            <w:r>
              <w:rPr>
                <w:rFonts w:ascii="Times New Roman" w:hAnsi="Times New Roman"/>
                <w:b/>
                <w:bCs/>
                <w:color w:val="000000"/>
                <w:sz w:val="19"/>
                <w:szCs w:val="20"/>
              </w:rPr>
              <w:t xml:space="preserve">% sites, ≥1 critical fail</w:t>
            </w:r>
          </w:p>
        </w:tc>
      </w:tr>
      <w:tr>
        <w:tc>
          <w:tcPr>
            <w:tcW w:type="dxa" w:w="3375"/>
          </w:tcPr>
          <w:p>
            <w:pPr>
              <w:spacing w:after="40" w:before="40"/>
            </w:pPr>
            <w:r>
              <w:rPr>
                <w:rFonts w:ascii="Times New Roman" w:hAnsi="Times New Roman"/>
                <w:color w:val="000000"/>
                <w:sz w:val="19"/>
                <w:szCs w:val="20"/>
              </w:rPr>
              <w:t xml:space="preserve">Argentina</w:t>
            </w:r>
          </w:p>
        </w:tc>
        <w:tc>
          <w:tcPr>
            <w:tcW w:type="dxa" w:w="1125"/>
          </w:tcPr>
          <w:p>
            <w:pPr>
              <w:spacing w:after="40" w:before="40"/>
            </w:pPr>
            <w:r>
              <w:rPr>
                <w:rFonts w:ascii="Times New Roman" w:hAnsi="Times New Roman"/>
                <w:color w:val="000000"/>
                <w:sz w:val="19"/>
                <w:szCs w:val="20"/>
              </w:rPr>
              <w:t xml:space="preserve">27</w:t>
            </w:r>
          </w:p>
        </w:tc>
        <w:tc>
          <w:tcPr>
            <w:tcW w:type="dxa" w:w="2250"/>
          </w:tcPr>
          <w:p>
            <w:pPr>
              <w:spacing w:after="40" w:before="40"/>
            </w:pPr>
            <w:r>
              <w:rPr>
                <w:rFonts w:ascii="Times New Roman" w:hAnsi="Times New Roman"/>
                <w:color w:val="000000"/>
                <w:sz w:val="19"/>
                <w:szCs w:val="20"/>
              </w:rPr>
              <w:t xml:space="preserve">22.0</w:t>
            </w:r>
          </w:p>
        </w:tc>
        <w:tc>
          <w:tcPr>
            <w:tcW w:type="dxa" w:w="2250"/>
          </w:tcPr>
          <w:p>
            <w:pPr>
              <w:spacing w:after="40" w:before="40"/>
            </w:pPr>
            <w:r>
              <w:rPr>
                <w:rFonts w:ascii="Times New Roman" w:hAnsi="Times New Roman"/>
                <w:color w:val="000000"/>
                <w:sz w:val="19"/>
                <w:szCs w:val="20"/>
              </w:rPr>
              <w:t xml:space="preserve">96.3</w:t>
            </w:r>
          </w:p>
        </w:tc>
      </w:tr>
      <w:tr>
        <w:tc>
          <w:tcPr>
            <w:tcW w:type="dxa" w:w="3375"/>
          </w:tcPr>
          <w:p>
            <w:pPr>
              <w:spacing w:after="40" w:before="40"/>
            </w:pPr>
            <w:r>
              <w:rPr>
                <w:rFonts w:ascii="Times New Roman" w:hAnsi="Times New Roman"/>
                <w:color w:val="000000"/>
                <w:sz w:val="19"/>
                <w:szCs w:val="20"/>
              </w:rPr>
              <w:t xml:space="preserve">Chile</w:t>
            </w:r>
          </w:p>
        </w:tc>
        <w:tc>
          <w:tcPr>
            <w:tcW w:type="dxa" w:w="1125"/>
          </w:tcPr>
          <w:p>
            <w:pPr>
              <w:spacing w:after="40" w:before="40"/>
            </w:pPr>
            <w:r>
              <w:rPr>
                <w:rFonts w:ascii="Times New Roman" w:hAnsi="Times New Roman"/>
                <w:color w:val="000000"/>
                <w:sz w:val="19"/>
                <w:szCs w:val="20"/>
              </w:rPr>
              <w:t xml:space="preserve">27</w:t>
            </w:r>
          </w:p>
        </w:tc>
        <w:tc>
          <w:tcPr>
            <w:tcW w:type="dxa" w:w="2250"/>
          </w:tcPr>
          <w:p>
            <w:pPr>
              <w:spacing w:after="40" w:before="40"/>
            </w:pPr>
            <w:r>
              <w:rPr>
                <w:rFonts w:ascii="Times New Roman" w:hAnsi="Times New Roman"/>
                <w:color w:val="000000"/>
                <w:sz w:val="19"/>
                <w:szCs w:val="20"/>
              </w:rPr>
              <w:t xml:space="preserve">15.0</w:t>
            </w:r>
          </w:p>
        </w:tc>
        <w:tc>
          <w:tcPr>
            <w:tcW w:type="dxa" w:w="2250"/>
          </w:tcPr>
          <w:p>
            <w:pPr>
              <w:spacing w:after="40" w:before="40"/>
            </w:pPr>
            <w:r>
              <w:rPr>
                <w:rFonts w:ascii="Times New Roman" w:hAnsi="Times New Roman"/>
                <w:color w:val="000000"/>
                <w:sz w:val="19"/>
                <w:szCs w:val="20"/>
              </w:rPr>
              <w:t xml:space="preserve">96.3</w:t>
            </w:r>
          </w:p>
        </w:tc>
      </w:tr>
      <w:tr>
        <w:tc>
          <w:tcPr>
            <w:tcW w:type="dxa" w:w="3375"/>
          </w:tcPr>
          <w:p>
            <w:pPr>
              <w:spacing w:after="40" w:before="40"/>
            </w:pPr>
            <w:r>
              <w:rPr>
                <w:rFonts w:ascii="Times New Roman" w:hAnsi="Times New Roman"/>
                <w:color w:val="000000"/>
                <w:sz w:val="19"/>
                <w:szCs w:val="20"/>
              </w:rPr>
              <w:t xml:space="preserve">Brazil</w:t>
            </w:r>
          </w:p>
        </w:tc>
        <w:tc>
          <w:tcPr>
            <w:tcW w:type="dxa" w:w="1125"/>
          </w:tcPr>
          <w:p>
            <w:pPr>
              <w:spacing w:after="40" w:before="40"/>
            </w:pPr>
            <w:r>
              <w:rPr>
                <w:rFonts w:ascii="Times New Roman" w:hAnsi="Times New Roman"/>
                <w:color w:val="000000"/>
                <w:sz w:val="19"/>
                <w:szCs w:val="20"/>
              </w:rPr>
              <w:t xml:space="preserve">26</w:t>
            </w:r>
          </w:p>
        </w:tc>
        <w:tc>
          <w:tcPr>
            <w:tcW w:type="dxa" w:w="2250"/>
          </w:tcPr>
          <w:p>
            <w:pPr>
              <w:spacing w:after="40" w:before="40"/>
            </w:pPr>
            <w:r>
              <w:rPr>
                <w:rFonts w:ascii="Times New Roman" w:hAnsi="Times New Roman"/>
                <w:color w:val="000000"/>
                <w:sz w:val="19"/>
                <w:szCs w:val="20"/>
              </w:rPr>
              <w:t xml:space="preserve">12.4</w:t>
            </w:r>
          </w:p>
        </w:tc>
        <w:tc>
          <w:tcPr>
            <w:tcW w:type="dxa" w:w="2250"/>
          </w:tcPr>
          <w:p>
            <w:pPr>
              <w:spacing w:after="40" w:before="40"/>
            </w:pPr>
            <w:r>
              <w:rPr>
                <w:rFonts w:ascii="Times New Roman" w:hAnsi="Times New Roman"/>
                <w:color w:val="000000"/>
                <w:sz w:val="19"/>
                <w:szCs w:val="20"/>
              </w:rPr>
              <w:t xml:space="preserve">92.3</w:t>
            </w:r>
          </w:p>
        </w:tc>
      </w:tr>
      <w:tr>
        <w:tc>
          <w:tcPr>
            <w:tcW w:type="dxa" w:w="3375"/>
          </w:tcPr>
          <w:p>
            <w:pPr>
              <w:spacing w:after="40" w:before="40"/>
            </w:pPr>
            <w:r>
              <w:rPr>
                <w:rFonts w:ascii="Times New Roman" w:hAnsi="Times New Roman"/>
                <w:color w:val="000000"/>
                <w:sz w:val="19"/>
                <w:szCs w:val="20"/>
              </w:rPr>
              <w:t xml:space="preserve">Colombia</w:t>
            </w:r>
          </w:p>
        </w:tc>
        <w:tc>
          <w:tcPr>
            <w:tcW w:type="dxa" w:w="1125"/>
          </w:tcPr>
          <w:p>
            <w:pPr>
              <w:spacing w:after="40" w:before="40"/>
            </w:pPr>
            <w:r>
              <w:rPr>
                <w:rFonts w:ascii="Times New Roman" w:hAnsi="Times New Roman"/>
                <w:color w:val="000000"/>
                <w:sz w:val="19"/>
                <w:szCs w:val="20"/>
              </w:rPr>
              <w:t xml:space="preserve">26</w:t>
            </w:r>
          </w:p>
        </w:tc>
        <w:tc>
          <w:tcPr>
            <w:tcW w:type="dxa" w:w="2250"/>
          </w:tcPr>
          <w:p>
            <w:pPr>
              <w:spacing w:after="40" w:before="40"/>
            </w:pPr>
            <w:r>
              <w:rPr>
                <w:rFonts w:ascii="Times New Roman" w:hAnsi="Times New Roman"/>
                <w:color w:val="000000"/>
                <w:sz w:val="19"/>
                <w:szCs w:val="20"/>
              </w:rPr>
              <w:t xml:space="preserve">19.0</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Ecuador</w:t>
            </w:r>
          </w:p>
        </w:tc>
        <w:tc>
          <w:tcPr>
            <w:tcW w:type="dxa" w:w="1125"/>
          </w:tcPr>
          <w:p>
            <w:pPr>
              <w:spacing w:after="40" w:before="40"/>
            </w:pPr>
            <w:r>
              <w:rPr>
                <w:rFonts w:ascii="Times New Roman" w:hAnsi="Times New Roman"/>
                <w:color w:val="000000"/>
                <w:sz w:val="19"/>
                <w:szCs w:val="20"/>
              </w:rPr>
              <w:t xml:space="preserve">24</w:t>
            </w:r>
          </w:p>
        </w:tc>
        <w:tc>
          <w:tcPr>
            <w:tcW w:type="dxa" w:w="2250"/>
          </w:tcPr>
          <w:p>
            <w:pPr>
              <w:spacing w:after="40" w:before="40"/>
            </w:pPr>
            <w:r>
              <w:rPr>
                <w:rFonts w:ascii="Times New Roman" w:hAnsi="Times New Roman"/>
                <w:color w:val="000000"/>
                <w:sz w:val="19"/>
                <w:szCs w:val="20"/>
              </w:rPr>
              <w:t xml:space="preserve">20.1</w:t>
            </w:r>
          </w:p>
        </w:tc>
        <w:tc>
          <w:tcPr>
            <w:tcW w:type="dxa" w:w="2250"/>
          </w:tcPr>
          <w:p>
            <w:pPr>
              <w:spacing w:after="40" w:before="40"/>
            </w:pPr>
            <w:r>
              <w:rPr>
                <w:rFonts w:ascii="Times New Roman" w:hAnsi="Times New Roman"/>
                <w:color w:val="000000"/>
                <w:sz w:val="19"/>
                <w:szCs w:val="20"/>
              </w:rPr>
              <w:t xml:space="preserve">91.7</w:t>
            </w:r>
          </w:p>
        </w:tc>
      </w:tr>
      <w:tr>
        <w:tc>
          <w:tcPr>
            <w:tcW w:type="dxa" w:w="3375"/>
          </w:tcPr>
          <w:p>
            <w:pPr>
              <w:spacing w:after="40" w:before="40"/>
            </w:pPr>
            <w:r>
              <w:rPr>
                <w:rFonts w:ascii="Times New Roman" w:hAnsi="Times New Roman"/>
                <w:color w:val="000000"/>
                <w:sz w:val="19"/>
                <w:szCs w:val="20"/>
              </w:rPr>
              <w:t xml:space="preserve">Peru</w:t>
            </w:r>
          </w:p>
        </w:tc>
        <w:tc>
          <w:tcPr>
            <w:tcW w:type="dxa" w:w="1125"/>
          </w:tcPr>
          <w:p>
            <w:pPr>
              <w:spacing w:after="40" w:before="40"/>
            </w:pPr>
            <w:r>
              <w:rPr>
                <w:rFonts w:ascii="Times New Roman" w:hAnsi="Times New Roman"/>
                <w:color w:val="000000"/>
                <w:sz w:val="19"/>
                <w:szCs w:val="20"/>
              </w:rPr>
              <w:t xml:space="preserve">21</w:t>
            </w:r>
          </w:p>
        </w:tc>
        <w:tc>
          <w:tcPr>
            <w:tcW w:type="dxa" w:w="2250"/>
          </w:tcPr>
          <w:p>
            <w:pPr>
              <w:spacing w:after="40" w:before="40"/>
            </w:pPr>
            <w:r>
              <w:rPr>
                <w:rFonts w:ascii="Times New Roman" w:hAnsi="Times New Roman"/>
                <w:color w:val="000000"/>
                <w:sz w:val="19"/>
                <w:szCs w:val="20"/>
              </w:rPr>
              <w:t xml:space="preserve">25.4</w:t>
            </w:r>
          </w:p>
        </w:tc>
        <w:tc>
          <w:tcPr>
            <w:tcW w:type="dxa" w:w="2250"/>
          </w:tcPr>
          <w:p>
            <w:pPr>
              <w:spacing w:after="40" w:before="40"/>
            </w:pPr>
            <w:r>
              <w:rPr>
                <w:rFonts w:ascii="Times New Roman" w:hAnsi="Times New Roman"/>
                <w:color w:val="000000"/>
                <w:sz w:val="19"/>
                <w:szCs w:val="20"/>
              </w:rPr>
              <w:t xml:space="preserve">81.0</w:t>
            </w:r>
          </w:p>
        </w:tc>
      </w:tr>
      <w:tr>
        <w:tc>
          <w:tcPr>
            <w:tcW w:type="dxa" w:w="3375"/>
          </w:tcPr>
          <w:p>
            <w:pPr>
              <w:spacing w:after="40" w:before="40"/>
            </w:pPr>
            <w:r>
              <w:rPr>
                <w:rFonts w:ascii="Times New Roman" w:hAnsi="Times New Roman"/>
                <w:color w:val="000000"/>
                <w:sz w:val="19"/>
                <w:szCs w:val="20"/>
              </w:rPr>
              <w:t xml:space="preserve">Costa Rica</w:t>
            </w:r>
          </w:p>
        </w:tc>
        <w:tc>
          <w:tcPr>
            <w:tcW w:type="dxa" w:w="1125"/>
          </w:tcPr>
          <w:p>
            <w:pPr>
              <w:spacing w:after="40" w:before="40"/>
            </w:pPr>
            <w:r>
              <w:rPr>
                <w:rFonts w:ascii="Times New Roman" w:hAnsi="Times New Roman"/>
                <w:color w:val="000000"/>
                <w:sz w:val="19"/>
                <w:szCs w:val="20"/>
              </w:rPr>
              <w:t xml:space="preserve">19</w:t>
            </w:r>
          </w:p>
        </w:tc>
        <w:tc>
          <w:tcPr>
            <w:tcW w:type="dxa" w:w="2250"/>
          </w:tcPr>
          <w:p>
            <w:pPr>
              <w:spacing w:after="40" w:before="40"/>
            </w:pPr>
            <w:r>
              <w:rPr>
                <w:rFonts w:ascii="Times New Roman" w:hAnsi="Times New Roman"/>
                <w:color w:val="000000"/>
                <w:sz w:val="19"/>
                <w:szCs w:val="20"/>
              </w:rPr>
              <w:t xml:space="preserve">24.0</w:t>
            </w:r>
          </w:p>
        </w:tc>
        <w:tc>
          <w:tcPr>
            <w:tcW w:type="dxa" w:w="2250"/>
          </w:tcPr>
          <w:p>
            <w:pPr>
              <w:spacing w:after="40" w:before="40"/>
            </w:pPr>
            <w:r>
              <w:rPr>
                <w:rFonts w:ascii="Times New Roman" w:hAnsi="Times New Roman"/>
                <w:color w:val="000000"/>
                <w:sz w:val="19"/>
                <w:szCs w:val="20"/>
              </w:rPr>
              <w:t xml:space="preserve">94.7</w:t>
            </w:r>
          </w:p>
        </w:tc>
      </w:tr>
      <w:tr>
        <w:tc>
          <w:tcPr>
            <w:tcW w:type="dxa" w:w="3375"/>
          </w:tcPr>
          <w:p>
            <w:pPr>
              <w:spacing w:after="40" w:before="40"/>
            </w:pPr>
            <w:r>
              <w:rPr>
                <w:rFonts w:ascii="Times New Roman" w:hAnsi="Times New Roman"/>
                <w:color w:val="000000"/>
                <w:sz w:val="19"/>
                <w:szCs w:val="20"/>
              </w:rPr>
              <w:t xml:space="preserve">Mexico</w:t>
            </w:r>
          </w:p>
        </w:tc>
        <w:tc>
          <w:tcPr>
            <w:tcW w:type="dxa" w:w="1125"/>
          </w:tcPr>
          <w:p>
            <w:pPr>
              <w:spacing w:after="40" w:before="40"/>
            </w:pPr>
            <w:r>
              <w:rPr>
                <w:rFonts w:ascii="Times New Roman" w:hAnsi="Times New Roman"/>
                <w:color w:val="000000"/>
                <w:sz w:val="19"/>
                <w:szCs w:val="20"/>
              </w:rPr>
              <w:t xml:space="preserve">15</w:t>
            </w:r>
          </w:p>
        </w:tc>
        <w:tc>
          <w:tcPr>
            <w:tcW w:type="dxa" w:w="2250"/>
          </w:tcPr>
          <w:p>
            <w:pPr>
              <w:spacing w:after="40" w:before="40"/>
            </w:pPr>
            <w:r>
              <w:rPr>
                <w:rFonts w:ascii="Times New Roman" w:hAnsi="Times New Roman"/>
                <w:color w:val="000000"/>
                <w:sz w:val="19"/>
                <w:szCs w:val="20"/>
              </w:rPr>
              <w:t xml:space="preserve">9.0</w:t>
            </w:r>
          </w:p>
        </w:tc>
        <w:tc>
          <w:tcPr>
            <w:tcW w:type="dxa" w:w="2250"/>
          </w:tcPr>
          <w:p>
            <w:pPr>
              <w:spacing w:after="40" w:before="40"/>
            </w:pPr>
            <w:r>
              <w:rPr>
                <w:rFonts w:ascii="Times New Roman" w:hAnsi="Times New Roman"/>
                <w:color w:val="000000"/>
                <w:sz w:val="19"/>
                <w:szCs w:val="20"/>
              </w:rPr>
              <w:t xml:space="preserve">73.3</w:t>
            </w:r>
          </w:p>
        </w:tc>
      </w:tr>
      <w:tr>
        <w:tc>
          <w:tcPr>
            <w:tcW w:type="dxa" w:w="3375"/>
          </w:tcPr>
          <w:p>
            <w:pPr>
              <w:spacing w:after="40" w:before="40"/>
            </w:pPr>
            <w:r>
              <w:rPr>
                <w:rFonts w:ascii="Times New Roman" w:hAnsi="Times New Roman"/>
                <w:color w:val="000000"/>
                <w:sz w:val="19"/>
                <w:szCs w:val="20"/>
              </w:rPr>
              <w:t xml:space="preserve">Dominican Republic</w:t>
            </w:r>
          </w:p>
        </w:tc>
        <w:tc>
          <w:tcPr>
            <w:tcW w:type="dxa" w:w="1125"/>
          </w:tcPr>
          <w:p>
            <w:pPr>
              <w:spacing w:after="40" w:before="40"/>
            </w:pPr>
            <w:r>
              <w:rPr>
                <w:rFonts w:ascii="Times New Roman" w:hAnsi="Times New Roman"/>
                <w:color w:val="000000"/>
                <w:sz w:val="19"/>
                <w:szCs w:val="20"/>
              </w:rPr>
              <w:t xml:space="preserve">15</w:t>
            </w:r>
          </w:p>
        </w:tc>
        <w:tc>
          <w:tcPr>
            <w:tcW w:type="dxa" w:w="2250"/>
          </w:tcPr>
          <w:p>
            <w:pPr>
              <w:spacing w:after="40" w:before="40"/>
            </w:pPr>
            <w:r>
              <w:rPr>
                <w:rFonts w:ascii="Times New Roman" w:hAnsi="Times New Roman"/>
                <w:color w:val="000000"/>
                <w:sz w:val="19"/>
                <w:szCs w:val="20"/>
              </w:rPr>
              <w:t xml:space="preserve">33.6</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El Salvador</w:t>
            </w:r>
          </w:p>
        </w:tc>
        <w:tc>
          <w:tcPr>
            <w:tcW w:type="dxa" w:w="1125"/>
          </w:tcPr>
          <w:p>
            <w:pPr>
              <w:spacing w:after="40" w:before="40"/>
            </w:pPr>
            <w:r>
              <w:rPr>
                <w:rFonts w:ascii="Times New Roman" w:hAnsi="Times New Roman"/>
                <w:color w:val="000000"/>
                <w:sz w:val="19"/>
                <w:szCs w:val="20"/>
              </w:rPr>
              <w:t xml:space="preserve">13</w:t>
            </w:r>
          </w:p>
        </w:tc>
        <w:tc>
          <w:tcPr>
            <w:tcW w:type="dxa" w:w="2250"/>
          </w:tcPr>
          <w:p>
            <w:pPr>
              <w:spacing w:after="40" w:before="40"/>
            </w:pPr>
            <w:r>
              <w:rPr>
                <w:rFonts w:ascii="Times New Roman" w:hAnsi="Times New Roman"/>
                <w:color w:val="000000"/>
                <w:sz w:val="19"/>
                <w:szCs w:val="20"/>
              </w:rPr>
              <w:t xml:space="preserve">15.5</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Guatemala</w:t>
            </w:r>
          </w:p>
        </w:tc>
        <w:tc>
          <w:tcPr>
            <w:tcW w:type="dxa" w:w="1125"/>
          </w:tcPr>
          <w:p>
            <w:pPr>
              <w:spacing w:after="40" w:before="40"/>
            </w:pPr>
            <w:r>
              <w:rPr>
                <w:rFonts w:ascii="Times New Roman" w:hAnsi="Times New Roman"/>
                <w:color w:val="000000"/>
                <w:sz w:val="19"/>
                <w:szCs w:val="20"/>
              </w:rPr>
              <w:t xml:space="preserve">10</w:t>
            </w:r>
          </w:p>
        </w:tc>
        <w:tc>
          <w:tcPr>
            <w:tcW w:type="dxa" w:w="2250"/>
          </w:tcPr>
          <w:p>
            <w:pPr>
              <w:spacing w:after="40" w:before="40"/>
            </w:pPr>
            <w:r>
              <w:rPr>
                <w:rFonts w:ascii="Times New Roman" w:hAnsi="Times New Roman"/>
                <w:color w:val="000000"/>
                <w:sz w:val="19"/>
                <w:szCs w:val="20"/>
              </w:rPr>
              <w:t xml:space="preserve">22.3</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Nicaragua</w:t>
            </w:r>
          </w:p>
        </w:tc>
        <w:tc>
          <w:tcPr>
            <w:tcW w:type="dxa" w:w="1125"/>
          </w:tcPr>
          <w:p>
            <w:pPr>
              <w:spacing w:after="40" w:before="40"/>
            </w:pPr>
            <w:r>
              <w:rPr>
                <w:rFonts w:ascii="Times New Roman" w:hAnsi="Times New Roman"/>
                <w:color w:val="000000"/>
                <w:sz w:val="19"/>
                <w:szCs w:val="20"/>
              </w:rPr>
              <w:t xml:space="preserve">9</w:t>
            </w:r>
          </w:p>
        </w:tc>
        <w:tc>
          <w:tcPr>
            <w:tcW w:type="dxa" w:w="2250"/>
          </w:tcPr>
          <w:p>
            <w:pPr>
              <w:spacing w:after="40" w:before="40"/>
            </w:pPr>
            <w:r>
              <w:rPr>
                <w:rFonts w:ascii="Times New Roman" w:hAnsi="Times New Roman"/>
                <w:color w:val="000000"/>
                <w:sz w:val="19"/>
                <w:szCs w:val="20"/>
              </w:rPr>
              <w:t xml:space="preserve">33.3</w:t>
            </w:r>
          </w:p>
        </w:tc>
        <w:tc>
          <w:tcPr>
            <w:tcW w:type="dxa" w:w="2250"/>
          </w:tcPr>
          <w:p>
            <w:pPr>
              <w:spacing w:after="40" w:before="40"/>
            </w:pPr>
            <w:r>
              <w:rPr>
                <w:rFonts w:ascii="Times New Roman" w:hAnsi="Times New Roman"/>
                <w:color w:val="000000"/>
                <w:sz w:val="19"/>
                <w:szCs w:val="20"/>
              </w:rPr>
              <w:t xml:space="preserve">88.9</w:t>
            </w:r>
          </w:p>
        </w:tc>
      </w:tr>
      <w:tr>
        <w:tc>
          <w:tcPr>
            <w:tcW w:type="dxa" w:w="3375"/>
          </w:tcPr>
          <w:p>
            <w:pPr>
              <w:spacing w:after="40" w:before="40"/>
            </w:pPr>
            <w:r>
              <w:rPr>
                <w:rFonts w:ascii="Times New Roman" w:hAnsi="Times New Roman"/>
                <w:color w:val="000000"/>
                <w:sz w:val="19"/>
                <w:szCs w:val="20"/>
              </w:rPr>
              <w:t xml:space="preserve">Panama</w:t>
            </w:r>
          </w:p>
        </w:tc>
        <w:tc>
          <w:tcPr>
            <w:tcW w:type="dxa" w:w="1125"/>
          </w:tcPr>
          <w:p>
            <w:pPr>
              <w:spacing w:after="40" w:before="40"/>
            </w:pPr>
            <w:r>
              <w:rPr>
                <w:rFonts w:ascii="Times New Roman" w:hAnsi="Times New Roman"/>
                <w:color w:val="000000"/>
                <w:sz w:val="19"/>
                <w:szCs w:val="20"/>
              </w:rPr>
              <w:t xml:space="preserve">7</w:t>
            </w:r>
          </w:p>
        </w:tc>
        <w:tc>
          <w:tcPr>
            <w:tcW w:type="dxa" w:w="2250"/>
          </w:tcPr>
          <w:p>
            <w:pPr>
              <w:spacing w:after="40" w:before="40"/>
            </w:pPr>
            <w:r>
              <w:rPr>
                <w:rFonts w:ascii="Times New Roman" w:hAnsi="Times New Roman"/>
                <w:color w:val="000000"/>
                <w:sz w:val="19"/>
                <w:szCs w:val="20"/>
              </w:rPr>
              <w:t xml:space="preserve">14.3</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Cuba</w:t>
            </w:r>
          </w:p>
        </w:tc>
        <w:tc>
          <w:tcPr>
            <w:tcW w:type="dxa" w:w="1125"/>
          </w:tcPr>
          <w:p>
            <w:pPr>
              <w:spacing w:after="40" w:before="40"/>
            </w:pPr>
            <w:r>
              <w:rPr>
                <w:rFonts w:ascii="Times New Roman" w:hAnsi="Times New Roman"/>
                <w:color w:val="000000"/>
                <w:sz w:val="19"/>
                <w:szCs w:val="20"/>
              </w:rPr>
              <w:t xml:space="preserve">6</w:t>
            </w:r>
          </w:p>
        </w:tc>
        <w:tc>
          <w:tcPr>
            <w:tcW w:type="dxa" w:w="2250"/>
          </w:tcPr>
          <w:p>
            <w:pPr>
              <w:spacing w:after="40" w:before="40"/>
            </w:pPr>
            <w:r>
              <w:rPr>
                <w:rFonts w:ascii="Times New Roman" w:hAnsi="Times New Roman"/>
                <w:color w:val="000000"/>
                <w:sz w:val="19"/>
                <w:szCs w:val="20"/>
              </w:rPr>
              <w:t xml:space="preserve">31.6</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Honduras</w:t>
            </w:r>
          </w:p>
        </w:tc>
        <w:tc>
          <w:tcPr>
            <w:tcW w:type="dxa" w:w="1125"/>
          </w:tcPr>
          <w:p>
            <w:pPr>
              <w:spacing w:after="40" w:before="40"/>
            </w:pPr>
            <w:r>
              <w:rPr>
                <w:rFonts w:ascii="Times New Roman" w:hAnsi="Times New Roman"/>
                <w:color w:val="000000"/>
                <w:sz w:val="19"/>
                <w:szCs w:val="20"/>
              </w:rPr>
              <w:t xml:space="preserve">6</w:t>
            </w:r>
          </w:p>
        </w:tc>
        <w:tc>
          <w:tcPr>
            <w:tcW w:type="dxa" w:w="2250"/>
          </w:tcPr>
          <w:p>
            <w:pPr>
              <w:spacing w:after="40" w:before="40"/>
            </w:pPr>
            <w:r>
              <w:rPr>
                <w:rFonts w:ascii="Times New Roman" w:hAnsi="Times New Roman"/>
                <w:color w:val="000000"/>
                <w:sz w:val="19"/>
                <w:szCs w:val="20"/>
              </w:rPr>
              <w:t xml:space="preserve">22.9</w:t>
            </w:r>
          </w:p>
        </w:tc>
        <w:tc>
          <w:tcPr>
            <w:tcW w:type="dxa" w:w="2250"/>
          </w:tcPr>
          <w:p>
            <w:pPr>
              <w:spacing w:after="40" w:before="40"/>
            </w:pPr>
            <w:r>
              <w:rPr>
                <w:rFonts w:ascii="Times New Roman" w:hAnsi="Times New Roman"/>
                <w:color w:val="000000"/>
                <w:sz w:val="19"/>
                <w:szCs w:val="20"/>
              </w:rPr>
              <w:t xml:space="preserve">83.3</w:t>
            </w:r>
          </w:p>
        </w:tc>
      </w:tr>
      <w:tr>
        <w:tc>
          <w:tcPr>
            <w:tcW w:type="dxa" w:w="3375"/>
          </w:tcPr>
          <w:p>
            <w:pPr>
              <w:spacing w:after="40" w:before="40"/>
            </w:pPr>
            <w:r>
              <w:rPr>
                <w:rFonts w:ascii="Times New Roman" w:hAnsi="Times New Roman"/>
                <w:color w:val="000000"/>
                <w:sz w:val="19"/>
                <w:szCs w:val="20"/>
              </w:rPr>
              <w:t xml:space="preserve">Paraguay</w:t>
            </w:r>
          </w:p>
        </w:tc>
        <w:tc>
          <w:tcPr>
            <w:tcW w:type="dxa" w:w="1125"/>
          </w:tcPr>
          <w:p>
            <w:pPr>
              <w:spacing w:after="40" w:before="40"/>
            </w:pPr>
            <w:r>
              <w:rPr>
                <w:rFonts w:ascii="Times New Roman" w:hAnsi="Times New Roman"/>
                <w:color w:val="000000"/>
                <w:sz w:val="19"/>
                <w:szCs w:val="20"/>
              </w:rPr>
              <w:t xml:space="preserve">5</w:t>
            </w:r>
          </w:p>
        </w:tc>
        <w:tc>
          <w:tcPr>
            <w:tcW w:type="dxa" w:w="2250"/>
          </w:tcPr>
          <w:p>
            <w:pPr>
              <w:spacing w:after="40" w:before="40"/>
            </w:pPr>
            <w:r>
              <w:rPr>
                <w:rFonts w:ascii="Times New Roman" w:hAnsi="Times New Roman"/>
                <w:color w:val="000000"/>
                <w:sz w:val="19"/>
                <w:szCs w:val="20"/>
              </w:rPr>
              <w:t xml:space="preserve">15.6</w:t>
            </w:r>
          </w:p>
        </w:tc>
        <w:tc>
          <w:tcPr>
            <w:tcW w:type="dxa" w:w="2250"/>
          </w:tcPr>
          <w:p>
            <w:pPr>
              <w:spacing w:after="40" w:before="40"/>
            </w:pPr>
            <w:r>
              <w:rPr>
                <w:rFonts w:ascii="Times New Roman" w:hAnsi="Times New Roman"/>
                <w:color w:val="000000"/>
                <w:sz w:val="19"/>
                <w:szCs w:val="20"/>
              </w:rPr>
              <w:t xml:space="preserve">100.0</w:t>
            </w:r>
          </w:p>
        </w:tc>
      </w:tr>
    </w:tbl>
    <w:p>
      <w:pPr>
        <w:spacing w:after="80" w:before="100" w:line="276" w:lineRule="auto"/>
      </w:pPr>
      <w:r>
        <w:rPr>
          <w:rFonts w:ascii="Times New Roman" w:hAnsi="Times New Roman"/>
          <w:b w:val="false"/>
          <w:bCs w:val="false"/>
          <w:i/>
          <w:iCs/>
          <w:color w:val="000000"/>
          <w:sz w:val="20"/>
          <w:szCs w:val="18"/>
        </w:rPr>
        <w:t xml:space="preserve">Table 2. Descriptive statistics by country (16 countries with ≥5 sites; 256 of 259 sites).</w:t>
      </w:r>
    </w:p>
    <w:p>
      <w:pPr>
        <w:spacing w:after="80" w:line="276" w:lineRule="auto"/>
      </w:pPr>
      <w:r>
        <w:rPr>
          <w:rFonts w:ascii="Times New Roman" w:hAnsi="Times New Roman"/>
          <w:i/>
          <w:color w:val="000000"/>
          <w:sz w:val="20"/>
          <w:szCs w:val="22"/>
        </w:rPr>
        <w:t xml:space="preserve">Table 2 gives descriptive statistics by country before turning to the significance question. The pair-level test suggests compliance varies by country (χ² = 1625.04, df = 16, p &lt; 0.001, Cramér's V = 0.198; Figure 2), and the pair-level logistic regression finds most country coefficients individually significant (e.g., Paraguay: β = −2.23, p &lt; 0.001; Cuba: β = +0.57, p &lt; 0.001). We do not take this at face value: because pairs are clustered within sites, the pair-level test's effective sample size (41,360) overstates independent information, and its p-values should be read as optimistic. The site-level test, restricted to the 256 sites in the 16 countries with ≥5 sites, is </w:t>
      </w:r>
      <w:r>
        <w:rPr>
          <w:rFonts w:ascii="Times New Roman" w:hAnsi="Times New Roman"/>
          <w:i/>
          <w:color w:val="000000"/>
          <w:sz w:val="20"/>
          <w:szCs w:val="22"/>
        </w:rPr>
        <w:t xml:space="preserve">not</w:t>
      </w:r>
      <w:r>
        <w:rPr>
          <w:rFonts w:ascii="Times New Roman" w:hAnsi="Times New Roman"/>
          <w:i/>
          <w:color w:val="000000"/>
          <w:sz w:val="20"/>
          <w:szCs w:val="22"/>
        </w:rPr>
        <w:t xml:space="preserve"> significant either on critical-failure status (χ² = 22.98, df = 15, p = 0.085) or on continuous %AA-failure (Kruskal-Wallis H = 21.53, p = 0.121). Because the site-level critical-failure rate is high (most countries have few or no compliant sites), several cells of the country x failure contingency table have an expected count well below the conventional rule-of-thumb minimum of 5 for the chi-squared approximation to be reliable (minimum expected count = 0.33); as a robustness check we therefore also ran a 10,000-iteration Monte Carlo permutation test (shuffling critical-failure status across sites within the same country distribution and recomputing chi-squared each time), which agrees closely with the asymptotic result (p = 0.081), so this is not an artifact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 “large text” varies within a site (a single page mixes body and heading sizes) its effect would not be vulnerable to the same between-site clustering concern. This expectation does not survive a direct check: refitting the logistic regression with site-clustered robust standard errors (a generalized estimating equations specification, independence working correlation, clustered by site) rather than pooled naive ones leaves the large-text coefficient unchanged in size (β = −0.10) but no longer significant (p = 0.473, versus p = 0.022 pooled), so we do not treat it as a reliable finding. Raw font size in pixels fares better: it retains a significant, though far more modest, </w:t>
      </w:r>
      <w:r>
        <w:rPr>
          <w:rFonts w:ascii="Times New Roman" w:hAnsi="Times New Roman"/>
          <w:i/>
          <w:color w:val="000000"/>
          <w:sz w:val="20"/>
          <w:szCs w:val="22"/>
        </w:rPr>
        <w:t xml:space="preserve">positive</w:t>
      </w:r>
      <w:r>
        <w:rPr>
          <w:rFonts w:ascii="Times New Roman" w:hAnsi="Times New Roman"/>
          <w:i/>
          <w:color w:val="000000"/>
          <w:sz w:val="20"/>
          <w:szCs w:val="22"/>
        </w:rPr>
        <w:t xml:space="preserve"> association with failure under the same clustered specification (β = +0.0108, p = 0.027, versus p &lt; 0.001 pooled). Of the two typography variables tested, only continuous font size in pixels survives clustering-robust inference, and only marginally; the categorical large-text effect does not.</w:t>
      </w:r>
    </w:p>
    <w:p>
      <w:pPr>
        <w:spacing w:after="80" w:before="200" w:line="276" w:lineRule="auto"/>
        <w:jc w:val="center"/>
      </w:pPr>
      <w:r>
        <w:rPr>
          <w:rFonts w:ascii="Times New Roman" w:hAnsi="Times New Roman"/>
          <w:color w:val="000000"/>
          <w:sz w:val="20"/>
        </w:rPr>
        <w:drawing>
          <wp:inline distT="0" distB="0" distL="0" distR="0">
            <wp:extent cx="4572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43225"/>
                    </a:xfrm>
                    <a:prstGeom prst="rect">
                      <a:avLst/>
                    </a:prstGeom>
                  </pic:spPr>
                </pic:pic>
              </a:graphicData>
            </a:graphic>
          </wp:inline>
        </w:drawing>
      </w:r>
    </w:p>
    <w:p>
      <w:pPr>
        <w:spacing w:after="80" w:before="100" w:line="276" w:lineRule="auto"/>
      </w:pPr>
      <w:r>
        <w:rPr>
          <w:rFonts w:ascii="Times New Roman" w:hAnsi="Times New Roman"/>
          <w:b w:val="false"/>
          <w:bCs w:val="false"/>
          <w:i/>
          <w:iCs/>
          <w:color w:val="000000"/>
          <w:sz w:val="20"/>
          <w:szCs w:val="18"/>
        </w:rPr>
        <w:t xml:space="preserve">Figure 2. AA compliance rate by country, pair-level (descriptive; see main text for why the associated significance test is not treated as confirmatory).</w:t>
      </w:r>
    </w:p>
    <w:p>
      <w:pPr>
        <w:spacing w:after="80" w:line="276" w:lineRule="auto"/>
      </w:pPr>
      <w:r>
        <w:rPr>
          <w:rFonts w:ascii="Times New Roman" w:hAnsi="Times New Roman"/>
          <w:color w:val="000000"/>
          <w:sz w:val="20"/>
          <w:szCs w:val="22"/>
        </w:rPr>
        <w:t xml:space="preserve">We clustered the 8,925 failing pairs' text-color coordinates in the full, standardized CIELAB L∗a∗b∗ space with k-means at k = 6 (silhouette = 0.796); we cluster on all three coordinates, not a∗b∗ alone, since WCAG failure is governed by luminance and a chroma-only projection would collapse every achromatic color (black, gray, white) onto the origin regardless of its lightness, which would settle the composition question by construction rather than measure it. We searched silhouette over k ∈ {2,…,20} as a robustness check rather than selecting k by silhouette maximization: the score does not have a clear interior maximum over that range, so we fix k = 6 for interpretability. The resulting partition separates the low-chroma pairs into two clusters at different lightness levels rather than merging them: a near-white cluster (mean L∗ = 99.5, chroma ≈ 0.2, 60.1% of failing pairs) and a mid-gray cluster (mean L∗ = 51.7, chroma ≈ 5.0, 19.9%), together 80.0% of all failing pairs, with four markedly smaller chromatic clusters (4.1% to 6.1% of pairs each, chroma 41.6–78.4) spanning red, blue, yellow-green, and green regions of the plane (Figure 3). The near-white cluster's lightness (L∗ = 99.5, indistinguishable from pure white) is consistent with the background-image detection artifact discussed in Limitations: at least part of this cluster is likely mislabeled text-over-image rather than genuinely near-white text. Agreement between our contrast-ratio-based failure count and </w:t>
      </w:r>
      <w:r>
        <w:rPr>
          <w:rFonts w:ascii="Times New Roman" w:cs="Courier New" w:eastAsia="Courier New" w:hAnsi="Times New Roman"/>
          <w:color w:val="000000"/>
          <w:sz w:val="20"/>
          <w:szCs w:val="22"/>
        </w:rPr>
        <w:t xml:space="preserve">axe-core</w:t>
      </w:r>
      <w:r>
        <w:rPr>
          <w:rFonts w:ascii="Times New Roman" w:hAnsi="Times New Roman"/>
          <w:color w:val="000000"/>
          <w:sz w:val="20"/>
          <w:szCs w:val="22"/>
        </w:rPr>
        <w:t xml:space="preserve">'s independent color-contrast violation count is positive but moderate (r = 0.347 across sites), which is expected given the two tools differ in which elements they consider evaluable (axe-core additionally skips certain non-text and gradient cases that our extraction still captures).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000"/>
        <w:gridCol w:w="2000"/>
        <w:gridCol w:w="2000"/>
      </w:tblGrid>
      <w:tr>
        <w:trPr>
          <w:tblHeader/>
        </w:trPr>
        <w:tc>
          <w:tcPr>
            <w:tcW w:type="dxa" w:w="2000"/>
            <w:shd w:fill="D9D9D9" w:color="auto" w:val="clear"/>
          </w:tcPr>
          <w:p>
            <w:pPr>
              <w:spacing w:after="40" w:before="40"/>
            </w:pPr>
            <w:r>
              <w:rPr>
                <w:rFonts w:ascii="Times New Roman" w:hAnsi="Times New Roman"/>
                <w:b/>
                <w:bCs/>
                <w:color w:val="000000"/>
                <w:sz w:val="19"/>
                <w:szCs w:val="20"/>
              </w:rPr>
              <w:t xml:space="preserve">Text (hex)</w:t>
            </w:r>
          </w:p>
        </w:tc>
        <w:tc>
          <w:tcPr>
            <w:tcW w:type="dxa" w:w="2000"/>
            <w:shd w:fill="D9D9D9" w:color="auto" w:val="clear"/>
          </w:tcPr>
          <w:p>
            <w:pPr>
              <w:spacing w:after="40" w:before="40"/>
            </w:pPr>
            <w:r>
              <w:rPr>
                <w:rFonts w:ascii="Times New Roman" w:hAnsi="Times New Roman"/>
                <w:b/>
                <w:bCs/>
                <w:color w:val="000000"/>
                <w:sz w:val="19"/>
                <w:szCs w:val="20"/>
              </w:rPr>
              <w:t xml:space="preserve">Background (hex)</w:t>
            </w:r>
          </w:p>
        </w:tc>
        <w:tc>
          <w:tcPr>
            <w:tcW w:type="dxa" w:w="1000"/>
            <w:shd w:fill="D9D9D9" w:color="auto" w:val="clear"/>
          </w:tcPr>
          <w:p>
            <w:pPr>
              <w:spacing w:after="40" w:before="40"/>
            </w:pPr>
            <w:r>
              <w:rPr>
                <w:rFonts w:ascii="Times New Roman" w:hAnsi="Times New Roman"/>
                <w:b/>
                <w:bCs/>
                <w:color w:val="000000"/>
                <w:sz w:val="19"/>
                <w:szCs w:val="20"/>
              </w:rPr>
              <w:t xml:space="preserve">n pairs</w:t>
            </w:r>
          </w:p>
        </w:tc>
        <w:tc>
          <w:tcPr>
            <w:tcW w:type="dxa" w:w="2000"/>
            <w:shd w:fill="D9D9D9" w:color="auto" w:val="clear"/>
          </w:tcPr>
          <w:p>
            <w:pPr>
              <w:spacing w:after="40" w:before="40"/>
            </w:pPr>
            <w:r>
              <w:rPr>
                <w:rFonts w:ascii="Times New Roman" w:hAnsi="Times New Roman"/>
                <w:b/>
                <w:bCs/>
                <w:color w:val="000000"/>
                <w:sz w:val="19"/>
                <w:szCs w:val="20"/>
              </w:rPr>
              <w:t xml:space="preserve">Ratio (median)</w:t>
            </w:r>
          </w:p>
        </w:tc>
        <w:tc>
          <w:tcPr>
            <w:tcW w:type="dxa" w:w="2000"/>
            <w:shd w:fill="D9D9D9" w:color="auto" w:val="clear"/>
          </w:tcPr>
          <w:p>
            <w:pPr>
              <w:spacing w:after="40" w:before="40"/>
            </w:pPr>
            <w:r>
              <w:rPr>
                <w:rFonts w:ascii="Times New Roman" w:hAnsi="Times New Roman"/>
                <w:b/>
                <w:bCs/>
                <w:color w:val="000000"/>
                <w:sz w:val="19"/>
                <w:szCs w:val="20"/>
              </w:rPr>
              <w:t xml:space="preserve">ΔE (median)</w:t>
            </w:r>
          </w:p>
        </w:tc>
      </w:tr>
      <w:tr>
        <w:tc>
          <w:tcPr>
            <w:tcW w:type="dxa" w:w="2000"/>
          </w:tcPr>
          <w:p>
            <w:pPr>
              <w:spacing w:after="40" w:before="40"/>
            </w:pPr>
            <w:r>
              <w:rPr>
                <w:rFonts w:ascii="Times New Roman" w:hAnsi="Times New Roman"/>
                <w:color w:val="000000"/>
                <w:sz w:val="19"/>
                <w:szCs w:val="20"/>
              </w:rPr>
              <w:t xml:space="preserve">#FFFFFF</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2,379</w:t>
            </w:r>
          </w:p>
        </w:tc>
        <w:tc>
          <w:tcPr>
            <w:tcW w:type="dxa" w:w="2000"/>
          </w:tcPr>
          <w:p>
            <w:pPr>
              <w:spacing w:after="40" w:before="40"/>
            </w:pPr>
            <w:r>
              <w:rPr>
                <w:rFonts w:ascii="Times New Roman" w:hAnsi="Times New Roman"/>
                <w:color w:val="000000"/>
                <w:sz w:val="19"/>
                <w:szCs w:val="20"/>
              </w:rPr>
              <w:t xml:space="preserve">1.00</w:t>
            </w:r>
          </w:p>
        </w:tc>
        <w:tc>
          <w:tcPr>
            <w:tcW w:type="dxa" w:w="2000"/>
          </w:tcPr>
          <w:p>
            <w:pPr>
              <w:spacing w:after="40" w:before="40"/>
            </w:pPr>
            <w:r>
              <w:rPr>
                <w:rFonts w:ascii="Times New Roman" w:hAnsi="Times New Roman"/>
                <w:color w:val="000000"/>
                <w:sz w:val="19"/>
                <w:szCs w:val="20"/>
              </w:rPr>
              <w:t xml:space="preserve">0.0</w:t>
            </w:r>
          </w:p>
        </w:tc>
      </w:tr>
      <w:tr>
        <w:tc>
          <w:tcPr>
            <w:tcW w:type="dxa" w:w="2000"/>
          </w:tcPr>
          <w:p>
            <w:pPr>
              <w:spacing w:after="40" w:before="40"/>
            </w:pPr>
            <w:r>
              <w:rPr>
                <w:rFonts w:ascii="Times New Roman" w:hAnsi="Times New Roman"/>
                <w:color w:val="000000"/>
                <w:sz w:val="19"/>
                <w:szCs w:val="20"/>
              </w:rPr>
              <w:t xml:space="preserve">#777777</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186</w:t>
            </w:r>
          </w:p>
        </w:tc>
        <w:tc>
          <w:tcPr>
            <w:tcW w:type="dxa" w:w="2000"/>
          </w:tcPr>
          <w:p>
            <w:pPr>
              <w:spacing w:after="40" w:before="40"/>
            </w:pPr>
            <w:r>
              <w:rPr>
                <w:rFonts w:ascii="Times New Roman" w:hAnsi="Times New Roman"/>
                <w:color w:val="000000"/>
                <w:sz w:val="19"/>
                <w:szCs w:val="20"/>
              </w:rPr>
              <w:t xml:space="preserve">4.48</w:t>
            </w:r>
          </w:p>
        </w:tc>
        <w:tc>
          <w:tcPr>
            <w:tcW w:type="dxa" w:w="2000"/>
          </w:tcPr>
          <w:p>
            <w:pPr>
              <w:spacing w:after="40" w:before="40"/>
            </w:pPr>
            <w:r>
              <w:rPr>
                <w:rFonts w:ascii="Times New Roman" w:hAnsi="Times New Roman"/>
                <w:color w:val="000000"/>
                <w:sz w:val="19"/>
                <w:szCs w:val="20"/>
              </w:rPr>
              <w:t xml:space="preserve">50.0</w:t>
            </w:r>
          </w:p>
        </w:tc>
      </w:tr>
      <w:tr>
        <w:tc>
          <w:tcPr>
            <w:tcW w:type="dxa" w:w="2000"/>
          </w:tcPr>
          <w:p>
            <w:pPr>
              <w:spacing w:after="40" w:before="40"/>
            </w:pPr>
            <w:r>
              <w:rPr>
                <w:rFonts w:ascii="Times New Roman" w:hAnsi="Times New Roman"/>
                <w:color w:val="000000"/>
                <w:sz w:val="19"/>
                <w:szCs w:val="20"/>
              </w:rPr>
              <w:t xml:space="preserve">#9F6B6B</w:t>
            </w:r>
          </w:p>
        </w:tc>
        <w:tc>
          <w:tcPr>
            <w:tcW w:type="dxa" w:w="2000"/>
          </w:tcPr>
          <w:p>
            <w:pPr>
              <w:spacing w:after="40" w:before="40"/>
            </w:pPr>
            <w:r>
              <w:rPr>
                <w:rFonts w:ascii="Times New Roman" w:hAnsi="Times New Roman"/>
                <w:color w:val="000000"/>
                <w:sz w:val="19"/>
                <w:szCs w:val="20"/>
              </w:rPr>
              <w:t xml:space="preserve">#F2F2F2</w:t>
            </w:r>
          </w:p>
        </w:tc>
        <w:tc>
          <w:tcPr>
            <w:tcW w:type="dxa" w:w="1000"/>
          </w:tcPr>
          <w:p>
            <w:pPr>
              <w:spacing w:after="40" w:before="40"/>
            </w:pPr>
            <w:r>
              <w:rPr>
                <w:rFonts w:ascii="Times New Roman" w:hAnsi="Times New Roman"/>
                <w:color w:val="000000"/>
                <w:sz w:val="19"/>
                <w:szCs w:val="20"/>
              </w:rPr>
              <w:t xml:space="preserve">172</w:t>
            </w:r>
          </w:p>
        </w:tc>
        <w:tc>
          <w:tcPr>
            <w:tcW w:type="dxa" w:w="2000"/>
          </w:tcPr>
          <w:p>
            <w:pPr>
              <w:spacing w:after="40" w:before="40"/>
            </w:pPr>
            <w:r>
              <w:rPr>
                <w:rFonts w:ascii="Times New Roman" w:hAnsi="Times New Roman"/>
                <w:color w:val="000000"/>
                <w:sz w:val="19"/>
                <w:szCs w:val="20"/>
              </w:rPr>
              <w:t xml:space="preserve">3.92</w:t>
            </w:r>
          </w:p>
        </w:tc>
        <w:tc>
          <w:tcPr>
            <w:tcW w:type="dxa" w:w="2000"/>
          </w:tcPr>
          <w:p>
            <w:pPr>
              <w:spacing w:after="40" w:before="40"/>
            </w:pPr>
            <w:r>
              <w:rPr>
                <w:rFonts w:ascii="Times New Roman" w:hAnsi="Times New Roman"/>
                <w:color w:val="000000"/>
                <w:sz w:val="19"/>
                <w:szCs w:val="20"/>
              </w:rPr>
              <w:t xml:space="preserve">50.2</w:t>
            </w:r>
          </w:p>
        </w:tc>
      </w:tr>
      <w:tr>
        <w:tc>
          <w:tcPr>
            <w:tcW w:type="dxa" w:w="2000"/>
          </w:tcPr>
          <w:p>
            <w:pPr>
              <w:spacing w:after="40" w:before="40"/>
            </w:pPr>
            <w:r>
              <w:rPr>
                <w:rFonts w:ascii="Times New Roman" w:hAnsi="Times New Roman"/>
                <w:color w:val="000000"/>
                <w:sz w:val="19"/>
                <w:szCs w:val="20"/>
              </w:rPr>
              <w:t xml:space="preserve">#E33B3B</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160</w:t>
            </w:r>
          </w:p>
        </w:tc>
        <w:tc>
          <w:tcPr>
            <w:tcW w:type="dxa" w:w="2000"/>
          </w:tcPr>
          <w:p>
            <w:pPr>
              <w:spacing w:after="40" w:before="40"/>
            </w:pPr>
            <w:r>
              <w:rPr>
                <w:rFonts w:ascii="Times New Roman" w:hAnsi="Times New Roman"/>
                <w:color w:val="000000"/>
                <w:sz w:val="19"/>
                <w:szCs w:val="20"/>
              </w:rPr>
              <w:t xml:space="preserve">4.24</w:t>
            </w:r>
          </w:p>
        </w:tc>
        <w:tc>
          <w:tcPr>
            <w:tcW w:type="dxa" w:w="2000"/>
          </w:tcPr>
          <w:p>
            <w:pPr>
              <w:spacing w:after="40" w:before="40"/>
            </w:pPr>
            <w:r>
              <w:rPr>
                <w:rFonts w:ascii="Times New Roman" w:hAnsi="Times New Roman"/>
                <w:color w:val="000000"/>
                <w:sz w:val="19"/>
                <w:szCs w:val="20"/>
              </w:rPr>
              <w:t xml:space="preserve">89.4</w:t>
            </w:r>
          </w:p>
        </w:tc>
      </w:tr>
      <w:tr>
        <w:tc>
          <w:tcPr>
            <w:tcW w:type="dxa" w:w="2000"/>
          </w:tcPr>
          <w:p>
            <w:pPr>
              <w:spacing w:after="40" w:before="40"/>
            </w:pPr>
            <w:r>
              <w:rPr>
                <w:rFonts w:ascii="Times New Roman" w:hAnsi="Times New Roman"/>
                <w:color w:val="000000"/>
                <w:sz w:val="19"/>
                <w:szCs w:val="20"/>
              </w:rPr>
              <w:t xml:space="preserve">#FFFFFF</w:t>
            </w:r>
          </w:p>
        </w:tc>
        <w:tc>
          <w:tcPr>
            <w:tcW w:type="dxa" w:w="2000"/>
          </w:tcPr>
          <w:p>
            <w:pPr>
              <w:spacing w:after="40" w:before="40"/>
            </w:pPr>
            <w:r>
              <w:rPr>
                <w:rFonts w:ascii="Times New Roman" w:hAnsi="Times New Roman"/>
                <w:color w:val="000000"/>
                <w:sz w:val="19"/>
                <w:szCs w:val="20"/>
              </w:rPr>
              <w:t xml:space="preserve">#EDEDED</w:t>
            </w:r>
          </w:p>
        </w:tc>
        <w:tc>
          <w:tcPr>
            <w:tcW w:type="dxa" w:w="1000"/>
          </w:tcPr>
          <w:p>
            <w:pPr>
              <w:spacing w:after="40" w:before="40"/>
            </w:pPr>
            <w:r>
              <w:rPr>
                <w:rFonts w:ascii="Times New Roman" w:hAnsi="Times New Roman"/>
                <w:color w:val="000000"/>
                <w:sz w:val="19"/>
                <w:szCs w:val="20"/>
              </w:rPr>
              <w:t xml:space="preserve">137</w:t>
            </w:r>
          </w:p>
        </w:tc>
        <w:tc>
          <w:tcPr>
            <w:tcW w:type="dxa" w:w="2000"/>
          </w:tcPr>
          <w:p>
            <w:pPr>
              <w:spacing w:after="40" w:before="40"/>
            </w:pPr>
            <w:r>
              <w:rPr>
                <w:rFonts w:ascii="Times New Roman" w:hAnsi="Times New Roman"/>
                <w:color w:val="000000"/>
                <w:sz w:val="19"/>
                <w:szCs w:val="20"/>
              </w:rPr>
              <w:t xml:space="preserve">1.17</w:t>
            </w:r>
          </w:p>
        </w:tc>
        <w:tc>
          <w:tcPr>
            <w:tcW w:type="dxa" w:w="2000"/>
          </w:tcPr>
          <w:p>
            <w:pPr>
              <w:spacing w:after="40" w:before="40"/>
            </w:pPr>
            <w:r>
              <w:rPr>
                <w:rFonts w:ascii="Times New Roman" w:hAnsi="Times New Roman"/>
                <w:color w:val="000000"/>
                <w:sz w:val="19"/>
                <w:szCs w:val="20"/>
              </w:rPr>
              <w:t xml:space="preserve">6.3</w:t>
            </w:r>
          </w:p>
        </w:tc>
      </w:tr>
      <w:tr>
        <w:tc>
          <w:tcPr>
            <w:tcW w:type="dxa" w:w="2000"/>
          </w:tcPr>
          <w:p>
            <w:pPr>
              <w:spacing w:after="40" w:before="40"/>
            </w:pPr>
            <w:r>
              <w:rPr>
                <w:rFonts w:ascii="Times New Roman" w:hAnsi="Times New Roman"/>
                <w:color w:val="000000"/>
                <w:sz w:val="19"/>
                <w:szCs w:val="20"/>
              </w:rPr>
              <w:t xml:space="preserve">#BFAC51</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124</w:t>
            </w:r>
          </w:p>
        </w:tc>
        <w:tc>
          <w:tcPr>
            <w:tcW w:type="dxa" w:w="2000"/>
          </w:tcPr>
          <w:p>
            <w:pPr>
              <w:spacing w:after="40" w:before="40"/>
            </w:pPr>
            <w:r>
              <w:rPr>
                <w:rFonts w:ascii="Times New Roman" w:hAnsi="Times New Roman"/>
                <w:color w:val="000000"/>
                <w:sz w:val="19"/>
                <w:szCs w:val="20"/>
              </w:rPr>
              <w:t xml:space="preserve">2.27</w:t>
            </w:r>
          </w:p>
        </w:tc>
        <w:tc>
          <w:tcPr>
            <w:tcW w:type="dxa" w:w="2000"/>
          </w:tcPr>
          <w:p>
            <w:pPr>
              <w:spacing w:after="40" w:before="40"/>
            </w:pPr>
            <w:r>
              <w:rPr>
                <w:rFonts w:ascii="Times New Roman" w:hAnsi="Times New Roman"/>
                <w:color w:val="000000"/>
                <w:sz w:val="19"/>
                <w:szCs w:val="20"/>
              </w:rPr>
              <w:t xml:space="preserve">57.0</w:t>
            </w:r>
          </w:p>
        </w:tc>
      </w:tr>
      <w:tr>
        <w:tc>
          <w:tcPr>
            <w:tcW w:type="dxa" w:w="2000"/>
          </w:tcPr>
          <w:p>
            <w:pPr>
              <w:spacing w:after="40" w:before="40"/>
            </w:pPr>
            <w:r>
              <w:rPr>
                <w:rFonts w:ascii="Times New Roman" w:hAnsi="Times New Roman"/>
                <w:color w:val="000000"/>
                <w:sz w:val="19"/>
                <w:szCs w:val="20"/>
              </w:rPr>
              <w:t xml:space="preserve">#999999</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116</w:t>
            </w:r>
          </w:p>
        </w:tc>
        <w:tc>
          <w:tcPr>
            <w:tcW w:type="dxa" w:w="2000"/>
          </w:tcPr>
          <w:p>
            <w:pPr>
              <w:spacing w:after="40" w:before="40"/>
            </w:pPr>
            <w:r>
              <w:rPr>
                <w:rFonts w:ascii="Times New Roman" w:hAnsi="Times New Roman"/>
                <w:color w:val="000000"/>
                <w:sz w:val="19"/>
                <w:szCs w:val="20"/>
              </w:rPr>
              <w:t xml:space="preserve">2.85</w:t>
            </w:r>
          </w:p>
        </w:tc>
        <w:tc>
          <w:tcPr>
            <w:tcW w:type="dxa" w:w="2000"/>
          </w:tcPr>
          <w:p>
            <w:pPr>
              <w:spacing w:after="40" w:before="40"/>
            </w:pPr>
            <w:r>
              <w:rPr>
                <w:rFonts w:ascii="Times New Roman" w:hAnsi="Times New Roman"/>
                <w:color w:val="000000"/>
                <w:sz w:val="19"/>
                <w:szCs w:val="20"/>
              </w:rPr>
              <w:t xml:space="preserve">36.8</w:t>
            </w:r>
          </w:p>
        </w:tc>
      </w:tr>
      <w:tr>
        <w:tc>
          <w:tcPr>
            <w:tcW w:type="dxa" w:w="2000"/>
          </w:tcPr>
          <w:p>
            <w:pPr>
              <w:spacing w:after="40" w:before="40"/>
            </w:pPr>
            <w:r>
              <w:rPr>
                <w:rFonts w:ascii="Times New Roman" w:hAnsi="Times New Roman"/>
                <w:color w:val="000000"/>
                <w:sz w:val="19"/>
                <w:szCs w:val="20"/>
              </w:rPr>
              <w:t xml:space="preserve">#00BCD4</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87</w:t>
            </w:r>
          </w:p>
        </w:tc>
        <w:tc>
          <w:tcPr>
            <w:tcW w:type="dxa" w:w="2000"/>
          </w:tcPr>
          <w:p>
            <w:pPr>
              <w:spacing w:after="40" w:before="40"/>
            </w:pPr>
            <w:r>
              <w:rPr>
                <w:rFonts w:ascii="Times New Roman" w:hAnsi="Times New Roman"/>
                <w:color w:val="000000"/>
                <w:sz w:val="19"/>
                <w:szCs w:val="20"/>
              </w:rPr>
              <w:t xml:space="preserve">2.30</w:t>
            </w:r>
          </w:p>
        </w:tc>
        <w:tc>
          <w:tcPr>
            <w:tcW w:type="dxa" w:w="2000"/>
          </w:tcPr>
          <w:p>
            <w:pPr>
              <w:spacing w:after="40" w:before="40"/>
            </w:pPr>
            <w:r>
              <w:rPr>
                <w:rFonts w:ascii="Times New Roman" w:hAnsi="Times New Roman"/>
                <w:color w:val="000000"/>
                <w:sz w:val="19"/>
                <w:szCs w:val="20"/>
              </w:rPr>
              <w:t xml:space="preserve">48.8</w:t>
            </w:r>
          </w:p>
        </w:tc>
      </w:tr>
      <w:tr>
        <w:tc>
          <w:tcPr>
            <w:tcW w:type="dxa" w:w="2000"/>
          </w:tcPr>
          <w:p>
            <w:pPr>
              <w:spacing w:after="40" w:before="40"/>
            </w:pPr>
            <w:r>
              <w:rPr>
                <w:rFonts w:ascii="Times New Roman" w:hAnsi="Times New Roman"/>
                <w:color w:val="000000"/>
                <w:sz w:val="19"/>
                <w:szCs w:val="20"/>
              </w:rPr>
              <w:t xml:space="preserve">#FFFFFF</w:t>
            </w:r>
          </w:p>
        </w:tc>
        <w:tc>
          <w:tcPr>
            <w:tcW w:type="dxa" w:w="2000"/>
          </w:tcPr>
          <w:p>
            <w:pPr>
              <w:spacing w:after="40" w:before="40"/>
            </w:pPr>
            <w:r>
              <w:rPr>
                <w:rFonts w:ascii="Times New Roman" w:hAnsi="Times New Roman"/>
                <w:color w:val="000000"/>
                <w:sz w:val="19"/>
                <w:szCs w:val="20"/>
              </w:rPr>
              <w:t xml:space="preserve">#F2F2F2</w:t>
            </w:r>
          </w:p>
        </w:tc>
        <w:tc>
          <w:tcPr>
            <w:tcW w:type="dxa" w:w="1000"/>
          </w:tcPr>
          <w:p>
            <w:pPr>
              <w:spacing w:after="40" w:before="40"/>
            </w:pPr>
            <w:r>
              <w:rPr>
                <w:rFonts w:ascii="Times New Roman" w:hAnsi="Times New Roman"/>
                <w:color w:val="000000"/>
                <w:sz w:val="19"/>
                <w:szCs w:val="20"/>
              </w:rPr>
              <w:t xml:space="preserve">81</w:t>
            </w:r>
          </w:p>
        </w:tc>
        <w:tc>
          <w:tcPr>
            <w:tcW w:type="dxa" w:w="2000"/>
          </w:tcPr>
          <w:p>
            <w:pPr>
              <w:spacing w:after="40" w:before="40"/>
            </w:pPr>
            <w:r>
              <w:rPr>
                <w:rFonts w:ascii="Times New Roman" w:hAnsi="Times New Roman"/>
                <w:color w:val="000000"/>
                <w:sz w:val="19"/>
                <w:szCs w:val="20"/>
              </w:rPr>
              <w:t xml:space="preserve">1.12</w:t>
            </w:r>
          </w:p>
        </w:tc>
        <w:tc>
          <w:tcPr>
            <w:tcW w:type="dxa" w:w="2000"/>
          </w:tcPr>
          <w:p>
            <w:pPr>
              <w:spacing w:after="40" w:before="40"/>
            </w:pPr>
            <w:r>
              <w:rPr>
                <w:rFonts w:ascii="Times New Roman" w:hAnsi="Times New Roman"/>
                <w:color w:val="000000"/>
                <w:sz w:val="19"/>
                <w:szCs w:val="20"/>
              </w:rPr>
              <w:t xml:space="preserve">4.5</w:t>
            </w:r>
          </w:p>
        </w:tc>
      </w:tr>
      <w:tr>
        <w:tc>
          <w:tcPr>
            <w:tcW w:type="dxa" w:w="2000"/>
          </w:tcPr>
          <w:p>
            <w:pPr>
              <w:spacing w:after="40" w:before="40"/>
            </w:pPr>
            <w:r>
              <w:rPr>
                <w:rFonts w:ascii="Times New Roman" w:hAnsi="Times New Roman"/>
                <w:color w:val="000000"/>
                <w:sz w:val="19"/>
                <w:szCs w:val="20"/>
              </w:rPr>
              <w:t xml:space="preserve">#959595</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76</w:t>
            </w:r>
          </w:p>
        </w:tc>
        <w:tc>
          <w:tcPr>
            <w:tcW w:type="dxa" w:w="2000"/>
          </w:tcPr>
          <w:p>
            <w:pPr>
              <w:spacing w:after="40" w:before="40"/>
            </w:pPr>
            <w:r>
              <w:rPr>
                <w:rFonts w:ascii="Times New Roman" w:hAnsi="Times New Roman"/>
                <w:color w:val="000000"/>
                <w:sz w:val="19"/>
                <w:szCs w:val="20"/>
              </w:rPr>
              <w:t xml:space="preserve">3.00</w:t>
            </w:r>
          </w:p>
        </w:tc>
        <w:tc>
          <w:tcPr>
            <w:tcW w:type="dxa" w:w="2000"/>
          </w:tcPr>
          <w:p>
            <w:pPr>
              <w:spacing w:after="40" w:before="40"/>
            </w:pPr>
            <w:r>
              <w:rPr>
                <w:rFonts w:ascii="Times New Roman" w:hAnsi="Times New Roman"/>
                <w:color w:val="000000"/>
                <w:sz w:val="19"/>
                <w:szCs w:val="20"/>
              </w:rPr>
              <w:t xml:space="preserve">38.3</w:t>
            </w:r>
          </w:p>
        </w:tc>
      </w:tr>
    </w:tbl>
    <w:p>
      <w:pPr>
        <w:spacing w:after="80" w:before="100" w:line="276" w:lineRule="auto"/>
      </w:pPr>
      <w:r>
        <w:rPr>
          <w:rFonts w:ascii="Times New Roman" w:hAnsi="Times New Roman"/>
          <w:b w:val="false"/>
          <w:bCs w:val="false"/>
          <w:i/>
          <w:iCs/>
          <w:color w:val="000000"/>
          <w:sz w:val="20"/>
          <w:szCs w:val="18"/>
        </w:rPr>
        <w:t xml:space="preserve">Table 3. The 10 most frequent failing color pairs, with median WCAG contrast ratio and median CIELAB ΔE (CIE76).</w:t>
      </w:r>
    </w:p>
    <w:p>
      <w:pPr>
        <w:spacing w:after="80" w:line="276" w:lineRule="auto"/>
      </w:pPr>
      <w:r>
        <w:rPr>
          <w:rFonts w:ascii="Times New Roman" w:hAnsi="Times New Roman"/>
          <w:i/>
          <w:color w:val="000000"/>
          <w:sz w:val="20"/>
          <w:szCs w:val="22"/>
        </w:rPr>
        <w:t xml:space="preserve">Table 3 shows that the single most frequent failing pair, by a wide margin, is white text on a white background (2,379 occurrences, ΔE = 0). We cannot fully distinguish two explanations from the extracted data: text genuinely styled to match its background (a fully invisible pair), and text rendered over a photographic or gradient </w:t>
      </w:r>
      <w:r>
        <w:rPr>
          <w:rFonts w:ascii="Times New Roman" w:cs="Courier New" w:eastAsia="Courier New" w:hAnsi="Times New Roman"/>
          <w:i/>
          <w:color w:val="000000"/>
          <w:sz w:val="20"/>
          <w:szCs w:val="22"/>
        </w:rPr>
        <w:t xml:space="preserve">background-image</w:t>
      </w:r>
      <w:r>
        <w:rPr>
          <w:rFonts w:ascii="Times New Roman" w:hAnsi="Times New Roman"/>
          <w:i/>
          <w:color w:val="000000"/>
          <w:sz w:val="20"/>
          <w:szCs w:val="22"/>
        </w:rPr>
        <w:t xml:space="preserve">, which our background-color resolution (Methodology, Limitations) would also record as white-on-white, since it only inspects </w:t>
      </w:r>
      <w:r>
        <w:rPr>
          <w:rFonts w:ascii="Times New Roman" w:cs="Courier New" w:eastAsia="Courier New" w:hAnsi="Times New Roman"/>
          <w:i/>
          <w:color w:val="000000"/>
          <w:sz w:val="20"/>
          <w:szCs w:val="22"/>
        </w:rPr>
        <w:t xml:space="preserve">background-color</w:t>
      </w:r>
      <w:r>
        <w:rPr>
          <w:rFonts w:ascii="Times New Roman" w:hAnsi="Times New Roman"/>
          <w:i/>
          <w:color w:val="000000"/>
          <w:sz w:val="20"/>
          <w:szCs w:val="22"/>
        </w:rPr>
        <w:t xml:space="preserve"> up the DOM ancestor chain. Both explanations describe real accessibility failures, but only the first is a literal invisible-text pattern; the practical implication (this is the single largest identifiable failure signature in the dataset) holds either way.</w:t>
      </w:r>
    </w:p>
    <w:p>
      <w:pPr>
        <w:spacing w:after="80" w:before="200" w:line="276" w:lineRule="auto"/>
        <w:jc w:val="center"/>
      </w:pPr>
      <w:r>
        <w:rPr>
          <w:rFonts w:ascii="Times New Roman" w:hAnsi="Times New Roman"/>
          <w:color w:val="000000"/>
          <w:sz w:val="20"/>
        </w:rPr>
        <w:drawing>
          <wp:inline distT="0" distB="0" distL="0" distR="0">
            <wp:extent cx="41910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819525"/>
                    </a:xfrm>
                    <a:prstGeom prst="rect">
                      <a:avLst/>
                    </a:prstGeom>
                  </pic:spPr>
                </pic:pic>
              </a:graphicData>
            </a:graphic>
          </wp:inline>
        </w:drawing>
      </w:r>
    </w:p>
    <w:p>
      <w:pPr>
        <w:spacing w:after="80" w:before="100" w:line="276" w:lineRule="auto"/>
      </w:pPr>
      <w:r>
        <w:rPr>
          <w:rFonts w:ascii="Times New Roman" w:hAnsi="Times New Roman"/>
          <w:b w:val="false"/>
          <w:bCs w:val="false"/>
          <w:i/>
          <w:iCs/>
          <w:color w:val="000000"/>
          <w:sz w:val="20"/>
          <w:szCs w:val="18"/>
        </w:rPr>
        <w:t xml:space="preserve">Figure 3. Failing pairs' text-color coordinates projected onto the CIELAB a∗b∗ plane, colored by k-means cluster (k = 6, computed in the full L∗a∗b∗ space); point size encodes L∗ (lightness).</w:t>
      </w:r>
    </w:p>
    <w:p>
      <w:pPr>
        <w:pStyle w:val="Heading1"/>
        <w:spacing w:after="80" w:before="200"/>
      </w:pPr>
      <w:r>
        <w:rPr>
          <w:rFonts w:ascii="Times New Roman" w:hAnsi="Times New Roman"/>
          <w:b/>
          <w:color w:val="000000"/>
        </w:rPr>
        <w:t xml:space="preserve">5. Discussion</w:t>
      </w:r>
    </w:p>
    <w:p>
      <w:pPr>
        <w:spacing w:after="80" w:line="276" w:lineRule="auto"/>
      </w:pPr>
      <w:r>
        <w:rPr>
          <w:rFonts w:ascii="Times New Roman" w:hAnsi="Times New Roman"/>
          <w:color w:val="000000"/>
          <w:sz w:val="20"/>
          <w:szCs w:val="22"/>
        </w:rP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gray text on white, text over unmasked photographic backgrounds, and unverified interaction states (hover/focus/visited). The clustering result supports the low-chroma part of that hypothesis directly: near-neutral clusters consistent with the “light gray on white” pattern account for 80.0% of failing pairs, split by our full-L∗a∗b∗ clustering into a near-white cluster (L∗ = 99.5, 60.1%) and a mid-gray cluster (L∗ = 51.7,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mid-gray cluster is not subject to that concern, since L∗ = 51.7 is far from the near-white artifact region. Even allowing for that overlap in the near-white cluster, the remaining chromatic clusters, saturated brand colors used directly as text color, are each individually small (4.1% to 6.1% of pairs), so the practical intervention implied by our results is closer to the field's existing assumption than we initially expected: a style-guide fix targeting low-contrast neutral and gray text would address the large majority of observed failures, with saturated brand-color misuse a secondary, smaller pattern.</w:t>
      </w:r>
    </w:p>
    <w:p>
      <w:pPr>
        <w:spacing w:after="80" w:line="276" w:lineRule="auto"/>
      </w:pPr>
      <w:r>
        <w:rPr>
          <w:rFonts w:ascii="Times New Roman" w:hAnsi="Times New Roman"/>
          <w:color w:val="000000"/>
          <w:sz w:val="20"/>
          <w:szCs w:val="22"/>
        </w:rPr>
        <w:t xml:space="preserve">For the institutions themselves, a style guide targeting low-contrast neutral (gray-on-white) text would directly address the large majority of the failures we observe. The smaller chromatic clusters are still worth a secondary mention: a plausible, though untested, explanation for that residual is institutional brand palettes (a university's primary color used directly as a text color, regardless of what it sits on) rather than a single stylistic trend (Figure 4 shows four representative examples). We have not tested this explanation against each institution's declared brand colors, and treat it as a hypothesis for future work rather than a finding.</w:t>
      </w:r>
    </w:p>
    <w:p>
      <w:pPr>
        <w:spacing w:after="80" w:before="200" w:line="276" w:lineRule="auto"/>
        <w:jc w:val="center"/>
      </w:pPr>
      <w:r>
        <w:rPr>
          <w:rFonts w:ascii="Times New Roman" w:hAnsi="Times New Roman"/>
          <w:color w:val="000000"/>
          <w:sz w:val="20"/>
        </w:rPr>
        <w:drawing>
          <wp:inline distT="0" distB="0" distL="0" distR="0">
            <wp:extent cx="4572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048125"/>
                    </a:xfrm>
                    <a:prstGeom prst="rect">
                      <a:avLst/>
                    </a:prstGeom>
                  </pic:spPr>
                </pic:pic>
              </a:graphicData>
            </a:graphic>
          </wp:inline>
        </w:drawing>
      </w:r>
    </w:p>
    <w:p>
      <w:pPr>
        <w:spacing w:after="80" w:before="100" w:line="276" w:lineRule="auto"/>
      </w:pPr>
      <w:r>
        <w:rPr>
          <w:rFonts w:ascii="Times New Roman" w:hAnsi="Times New Roman"/>
          <w:b w:val="false"/>
          <w:bCs w:val="false"/>
          <w:i/>
          <w:iCs/>
          <w:color w:val="000000"/>
          <w:sz w:val="20"/>
          <w:szCs w:val="18"/>
        </w:rPr>
        <w:t xml:space="preserve">Figure 4. Homepages among the highest AA-failure rates in the sample, illustrating the brand-palette pattern described above: saturated institutional colors used directly as text or overlay color rather than as accents. Captures show only public institutional cover content, not personal data.</w:t>
      </w:r>
    </w:p>
    <w:p>
      <w:pPr>
        <w:spacing w:after="80" w:line="276" w:lineRule="auto"/>
      </w:pPr>
      <w:r>
        <w:rPr>
          <w:rFonts w:ascii="Times New Roman" w:hAnsi="Times New Roman"/>
          <w:color w:val="000000"/>
          <w:sz w:val="20"/>
          <w:szCs w:val="22"/>
        </w:rP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p>
      <w:pPr>
        <w:pStyle w:val="Heading1"/>
        <w:spacing w:after="80" w:before="200"/>
      </w:pPr>
      <w:r>
        <w:rPr>
          <w:rFonts w:ascii="Times New Roman" w:hAnsi="Times New Roman"/>
          <w:b/>
          <w:color w:val="000000"/>
        </w:rPr>
        <w:t xml:space="preserve">6. Limitations</w:t>
      </w:r>
    </w:p>
    <w:p>
      <w:pPr>
        <w:spacing w:after="80" w:line="276" w:lineRule="auto"/>
      </w:pPr>
      <w:r>
        <w:rPr>
          <w:rFonts w:ascii="Times New Roman" w:hAnsi="Times New Roman"/>
          <w:color w:val="000000"/>
          <w:sz w:val="20"/>
          <w:szCs w:val="22"/>
        </w:rPr>
        <w:t xml:space="preserve">This study has several limitations. First, we crawled homepages only, not full sites; a homepage that passes may sit atop a site with far worse compliance on interior pages (or vice versa). Second, we measured only color contrast, which is one of many WCAG success criteria; a chromatically compliant site can still be inaccessible on other dimensions (keyboard navigation, alt text, semantic structure). Third, the crawl captures a single point in time (August 2026); institutional websites are redesigned periodically, so these figures are not stable indefinitely. Fourth, the source domain list had no entries for Bolivia or Venezuela, so the 17-country sample does not cover every country in the region. Fifth, and most consequential for how the country results should be read: color pairs are clustered within sites (a single homepage contributes many pairs sharing one design system), so the pair-level χ² and logistic-regression tests overstate independent sample size and their p-values are optimistic; the site-level check we report alongside them (256 sites, p = 0.085)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background-color resolution walks the DOM ancestor chain for a non-transparent </w:t>
      </w:r>
      <w:r>
        <w:rPr>
          <w:rFonts w:ascii="Times New Roman" w:cs="Courier New" w:eastAsia="Courier New" w:hAnsi="Times New Roman"/>
          <w:color w:val="000000"/>
          <w:sz w:val="20"/>
          <w:szCs w:val="22"/>
        </w:rPr>
        <w:t xml:space="preserve">background-color</w:t>
      </w:r>
      <w:r>
        <w:rPr>
          <w:rFonts w:ascii="Times New Roman" w:hAnsi="Times New Roman"/>
          <w:color w:val="000000"/>
          <w:sz w:val="20"/>
          <w:szCs w:val="22"/>
        </w:rPr>
        <w:t xml:space="preserve"> and does not inspect </w:t>
      </w:r>
      <w:r>
        <w:rPr>
          <w:rFonts w:ascii="Times New Roman" w:cs="Courier New" w:eastAsia="Courier New" w:hAnsi="Times New Roman"/>
          <w:color w:val="000000"/>
          <w:sz w:val="20"/>
          <w:szCs w:val="22"/>
        </w:rPr>
        <w:t xml:space="preserve">background-image</w:t>
      </w:r>
      <w:r>
        <w:rPr>
          <w:rFonts w:ascii="Times New Roman" w:hAnsi="Times New Roman"/>
          <w:color w:val="000000"/>
          <w:sz w:val="20"/>
          <w:szCs w:val="22"/>
        </w:rPr>
        <w:t xml:space="preserve">; a text element rendered over a photographic or gradient background resolves, incorrectly, against whatever solid color sits further up the ancestor chain (typically page white). This is a plausible contributor to the single most frequent failing pair in our data (white text on a white background, 2,379 occurrences): at least part of that count is likely mislabeled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2,379 white-on-white pairs as an artifact and excluding them entirely: the pair-level failure rate drops from 21.6% to 16.8%, and the site-level share with at least one critical failure drops from 93.5% to 90.7% (only 7 of 259 sites, 2.7%, have white-on-white as their </w:t>
      </w:r>
      <w:r>
        <w:rPr>
          <w:rFonts w:ascii="Times New Roman" w:hAnsi="Times New Roman"/>
          <w:color w:val="000000"/>
          <w:sz w:val="20"/>
          <w:szCs w:val="22"/>
        </w:rPr>
        <w:t xml:space="preserve">only</w:t>
      </w:r>
      <w:r>
        <w:rPr>
          <w:rFonts w:ascii="Times New Roman" w:hAnsi="Times New Roman"/>
          <w:color w:val="000000"/>
          <w:sz w:val="20"/>
          <w:szCs w:val="22"/>
        </w:rPr>
        <w:t xml:space="preserve"> recorded failure). Since at least some of these 2,379 pairs are surely genuine invisible-text bugs rather than background-image artifacts, this exclusion is an upper bound on the artifact's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 </w:t>
      </w:r>
      <w:r>
        <w:rPr>
          <w:rFonts w:ascii="Times New Roman" w:cs="Courier New" w:eastAsia="Courier New" w:hAnsi="Times New Roman"/>
          <w:color w:val="000000"/>
          <w:sz w:val="20"/>
          <w:szCs w:val="22"/>
        </w:rPr>
        <w:t xml:space="preserve">axe-core</w:t>
      </w:r>
      <w:r>
        <w:rPr>
          <w:rFonts w:ascii="Times New Roman" w:hAnsi="Times New Roman"/>
          <w:color w:val="000000"/>
          <w:sz w:val="20"/>
          <w:szCs w:val="22"/>
        </w:rPr>
        <w:t xml:space="preserve"> reflects genuine methodological differences between contrast-ratio counting and axe-core's rule engine rather than a validity problem with either approach, but it means the two should be read as complementary rather than interchangeable estimates.</w:t>
      </w:r>
    </w:p>
    <w:p>
      <w:pPr>
        <w:pStyle w:val="Heading1"/>
        <w:spacing w:after="80" w:before="200"/>
      </w:pPr>
      <w:r>
        <w:rPr>
          <w:rFonts w:ascii="Times New Roman" w:hAnsi="Times New Roman"/>
          <w:b/>
          <w:color w:val="000000"/>
        </w:rPr>
        <w:t xml:space="preserve">7. Conclusion</w:t>
      </w:r>
    </w:p>
    <w:p>
      <w:pPr>
        <w:spacing w:after="80" w:line="276" w:lineRule="auto"/>
      </w:pPr>
      <w:r>
        <w:rPr>
          <w:rFonts w:ascii="Times New Roman" w:hAnsi="Times New Roman"/>
          <w:color w:val="000000"/>
          <w:sz w:val="20"/>
          <w:szCs w:val="22"/>
        </w:rPr>
        <w:t xml:space="preserve">A homepage-level survey of 259 Latin American university websites finds that WCAG AA contrast failures are the norm rather than the exception (93.5%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colors involved in these failures are consistent with our initial hypothesis: unsupervised clustering in the full CIELAB L∗a∗b∗ space shows that near-neutral, low-chroma “light gray on white” patterns account for 80.0% of failing pairs, with four smaller chromatic clusters making up the remainder. This suggests that accessibility guidance for this region can prioritize the low-contrast neutral-text pattern as the primary target, while treating brand-palette contrast checking as a secondary recommendation for the smaller residual of saturated-color failures.</w:t>
      </w:r>
    </w:p>
    <w:p>
      <w:pPr>
        <w:pStyle w:val="Heading1"/>
        <w:spacing w:after="80" w:before="200"/>
      </w:pPr>
      <w:r>
        <w:rPr>
          <w:rFonts w:ascii="Times New Roman" w:hAnsi="Times New Roman"/>
          <w:b/>
          <w:color w:val="000000"/>
        </w:rPr>
        <w:t xml:space="preserve">Data Availability</w:t>
      </w:r>
    </w:p>
    <w:p>
      <w:pPr>
        <w:spacing w:after="80" w:line="276" w:lineRule="auto"/>
      </w:pPr>
      <w:r>
        <w:rPr>
          <w:rFonts w:ascii="Times New Roman" w:hAnsi="Times New Roman"/>
          <w:color w:val="000000"/>
          <w:sz w:val="20"/>
          <w:szCs w:val="22"/>
        </w:rPr>
        <w:t xml:space="preserve">The domain list, crawl logs, extracted color pairs, and analysis code will be published in a public repository with a Zenodo DOI upon submission (see </w:t>
      </w:r>
      <w:r>
        <w:rPr>
          <w:rFonts w:ascii="Times New Roman" w:cs="Courier New" w:eastAsia="Courier New" w:hAnsi="Times New Roman"/>
          <w:color w:val="000000"/>
          <w:sz w:val="20"/>
          <w:szCs w:val="22"/>
        </w:rPr>
        <w:t xml:space="preserve">README.md</w:t>
      </w:r>
      <w:r>
        <w:rPr>
          <w:rFonts w:ascii="Times New Roman" w:hAnsi="Times New Roman"/>
          <w:color w:val="000000"/>
          <w:sz w:val="20"/>
          <w:szCs w:val="22"/>
        </w:rPr>
        <w:t xml:space="preserve"> for the current repository location).</w:t>
      </w:r>
    </w:p>
    <w:p>
      <w:pPr>
        <w:pStyle w:val="Heading1"/>
        <w:spacing w:after="80" w:before="200"/>
      </w:pPr>
      <w:r>
        <w:rPr>
          <w:rFonts w:ascii="Times New Roman" w:hAnsi="Times New Roman"/>
          <w:b/>
          <w:color w:val="000000"/>
        </w:rPr>
        <w:t xml:space="preserve">References</w:t>
      </w:r>
    </w:p>
    <w:p>
      <w:pPr>
        <w:spacing w:after="80" w:line="276" w:lineRule="auto"/>
        <w:ind w:left="400" w:hanging="400"/>
      </w:pPr>
      <w:r>
        <w:rPr>
          <w:rFonts w:ascii="Times New Roman" w:hAnsi="Times New Roman"/>
          <w:color w:val="000000"/>
          <w:sz w:val="20"/>
          <w:szCs w:val="20"/>
        </w:rPr>
        <w:t xml:space="preserve">International Commission on Illumination (CIE). (1976). Colorimetry — Part 4: CIE 1976 L*a∗b∗ Colour Space. CIE. https://cie.co.at/publications/colorimetry-part-4-cie-1976-lab-colour-space-0</w:t>
      </w:r>
    </w:p>
    <w:p>
      <w:pPr>
        <w:spacing w:after="80" w:line="276" w:lineRule="auto"/>
        <w:ind w:left="400" w:hanging="400"/>
      </w:pPr>
      <w:r>
        <w:rPr>
          <w:rFonts w:ascii="Times New Roman" w:hAnsi="Times New Roman"/>
          <w:color w:val="000000"/>
          <w:sz w:val="20"/>
          <w:szCs w:val="20"/>
        </w:rPr>
        <w:t xml:space="preserve">Ofosu-Asare, Y. (2024). Enhancing user experience in online learning environments: Design, evaluation, and usability techniques. Journal of Graphic Engineering and Design, 15(4), 45–59. https://doi.org/10.24867/JGED-2024-4-045</w:t>
      </w:r>
    </w:p>
    <w:p>
      <w:pPr>
        <w:spacing w:after="80" w:line="276" w:lineRule="auto"/>
        <w:ind w:left="400" w:hanging="400"/>
      </w:pPr>
      <w:r>
        <w:rPr>
          <w:rFonts w:ascii="Times New Roman" w:hAnsi="Times New Roman"/>
          <w:color w:val="000000"/>
          <w:sz w:val="20"/>
          <w:szCs w:val="20"/>
        </w:rPr>
        <w:t xml:space="preserve">Punsongserm, R., &amp; Suvakunta, P. (2025). Enhancing accessibility of Thai government mobile applications through effective use of typefaces, type sizes, and colour contrast: A technical review. Journal of Graphic Engineering and Design, 16(1). https://doi.org/10.24867/JGED-2025-1-017</w:t>
      </w:r>
    </w:p>
    <w:p>
      <w:pPr>
        <w:spacing w:after="80" w:line="276" w:lineRule="auto"/>
        <w:ind w:left="400" w:hanging="400"/>
      </w:pPr>
      <w:r>
        <w:rPr>
          <w:rFonts w:ascii="Times New Roman" w:hAnsi="Times New Roman"/>
          <w:color w:val="000000"/>
          <w:sz w:val="20"/>
          <w:szCs w:val="20"/>
        </w:rPr>
        <w:t xml:space="preserve">Weingerl, P., Nedeljković, U., &amp; Pušnik, N. (2022). Visibility and legibility of five-letter words in different experimental conditions. Journal of Graphic Engineering and Design, 13(3), 51–58. https://doi.org/10.24867/JGED-2022-3-051</w:t>
      </w:r>
    </w:p>
    <w:p>
      <w:pPr>
        <w:spacing w:after="80" w:line="276" w:lineRule="auto"/>
        <w:ind w:left="400" w:hanging="400"/>
      </w:pPr>
      <w:r>
        <w:rPr>
          <w:rFonts w:ascii="Times New Roman" w:hAnsi="Times New Roman"/>
          <w:color w:val="000000"/>
          <w:sz w:val="20"/>
          <w:szCs w:val="20"/>
        </w:rPr>
        <w:t xml:space="preserve">WebAIM. (2026). The WebAIM Million: The 2026 Report on the Accessibility of the Top 1,000,000 Home Pages. https://webaim.org/projects/million/</w:t>
      </w:r>
    </w:p>
    <w:p>
      <w:pPr>
        <w:spacing w:after="80" w:line="276" w:lineRule="auto"/>
        <w:ind w:left="400" w:hanging="400"/>
      </w:pPr>
      <w:r>
        <w:rPr>
          <w:rFonts w:ascii="Times New Roman" w:hAnsi="Times New Roman"/>
          <w:color w:val="000000"/>
          <w:sz w:val="20"/>
          <w:szCs w:val="20"/>
        </w:rPr>
        <w:t xml:space="preserve">World Wide Web Consortium (W3C). (2023). Web Content Accessibility Guidelines (WCAG) 2.2. W3C Recommendation, 5 October 2023. https://www.w3.org/TR/WCAG22/</w:t>
      </w:r>
    </w:p>
    <w:sectPr>
      <w:pgSz w:w="11909" w:h="16834"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rFonts w:ascii="Times New Roman" w:hAnsi="Times New Roman"/>
      <w:b/>
      <w:color w:val="000000"/>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7fe3cf49da88502a3a7e31f3e5ed49a10c25aa.png"/><Relationship Id="rId8" Type="http://schemas.openxmlformats.org/officeDocument/2006/relationships/image" Target="media/675cf51b3ed531dded15ac87b83ba15b4e4b037b.png"/><Relationship Id="rId9" Type="http://schemas.openxmlformats.org/officeDocument/2006/relationships/image" Target="media/348bbf4edea62b3df6a0afbf374abc4fb72a0d38.png"/><Relationship Id="rId10" Type="http://schemas.openxmlformats.org/officeDocument/2006/relationships/image" Target="media/d167c7efb3077991acc4cfb11021b71bc580d5fe.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2026-08-25T00:34:13.978Z</dcterms:created>
  <dcterms:modified xsi:type="dcterms:W3CDTF">2026-08-25T00:34:13.980Z</dcterms:modified>
</cp:coreProperties>
</file>

<file path=docProps/custom.xml><?xml version="1.0" encoding="utf-8"?>
<Properties xmlns="http://schemas.openxmlformats.org/officeDocument/2006/custom-properties" xmlns:vt="http://schemas.openxmlformats.org/officeDocument/2006/docPropsVTypes"/>
</file>