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Latin American higher education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Within this journal, colour reproduction has mostly been studied on the print side, including how ink drying systems shape the final printed result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30 Latin American university websites,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0.086</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median WCAG contrast ratio, and the number of occurrences; the specimen text is illustrative and no institution is identified. Grey-on-white pairs (left column, top and bottom) and saturated colours used directly as text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(93.4%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4"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6">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7">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8">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9">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0">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1">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2">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3">
        <w:r>
          <w:rPr>
            <w:rStyle w:val="Hyperlink"/>
          </w:rPr>
          <w:t xml:space="preserve">https://www.w3.org/TR/WCAG22/</w:t>
        </w:r>
      </w:hyperlink>
      <w:r>
        <w:t xml:space="preserve">.</w:t>
      </w:r>
    </w:p>
    <w:bookmarkEnd w:id="64"/>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2026-10-16T21:47:29Z</dcterms:created>
  <dcterms:modified xsi:type="dcterms:W3CDTF">2026-10-16T21:47:29Z</dcterms:modified>
</cp:coreProperties>
</file>

<file path=docProps/custom.xml><?xml version="1.0" encoding="utf-8"?>
<Properties xmlns="http://schemas.openxmlformats.org/officeDocument/2006/custom-properties" xmlns:vt="http://schemas.openxmlformats.org/officeDocument/2006/docPropsVTypes"/>
</file>