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Chromatic Accessibility in Latin American University Websites: A Census of WCAG Contrast Compliance</w:t>
      </w:r>
    </w:p>
    <w:p>
      <w:pPr>
        <w:spacing w:after="150" w:before="100"/>
      </w:pPr>
      <w:r>
        <w:rPr>
          <w:b/>
          <w:bCs/>
          <w:sz w:val="24"/>
          <w:szCs w:val="24"/>
        </w:rPr>
        <w:t xml:space="preserve">Abstract</w:t>
      </w:r>
    </w:p>
    <w:p>
      <w:pPr>
        <w:spacing w:after="200"/>
      </w:pPr>
      <w:r>
        <w:rPr>
          <w:i w:val="false"/>
          <w:iCs w:val="false"/>
          <w:sz w:val="22"/>
          <w:szCs w:val="22"/>
        </w:rPr>
        <w:t xml:space="preserve">Web accessibility audits at scale have historically concentrated on North American and European institutions, leaving Latin American higher education largely unexamined. We crawled the homepages of 464 Latin American university websites across 17 countries and successfully extracted computed text/background color pairs from 259 of them (41,360 pairs in total). Each pair was converted from sRGB to CIELAB and evaluated against the WCAG 2.2 contrast thresholds, with the axe-core accessibility engine used as an independent cross-check. We find that 21.6% of all color pairs fail the AA threshold, and 93.5% of sites contain at least one critical failure. A pair-level chi-square test suggests compliance differs by country (χ² = 1625.04, df = 16, p &lt; 0.001, Cramér's V = 0.198), but because color pairs are clustered within sites rather than independent, we treat this as exploratory: a site-level test on the true unit of analysis (256 sites, countries with ≥5 sites) is not significant (χ² = 22.98, df = 15, p = 0.085). A within-site typography effect is more robust to this concern — pairs classified as large text have significantly lower odds of failure in a pair-level logistic regression. Contrary to our initial hypothesis that failures would cluster around a narrow “light gray on white” pattern, unsupervised clustering of the failing pairs in the CIELAB a∗b∗ plane reveals six well-separated color families (silhouette = 0.854), indicating that chromatic accessibility failures in this region are driven by a broader range of design choices than previously assumed.</w:t>
      </w:r>
    </w:p>
    <w:p>
      <w:pPr>
        <w:pStyle w:val="Heading1"/>
        <w:spacing w:after="150" w:before="300"/>
      </w:pPr>
      <w:r>
        <w:t xml:space="preserve">1. Introduction</w:t>
      </w:r>
    </w:p>
    <w:p>
      <w:pPr>
        <w:spacing w:after="200"/>
      </w:pPr>
      <w:r>
        <w:rPr>
          <w:sz w:val="22"/>
          <w:szCs w:val="22"/>
        </w:rPr>
        <w:t xml:space="preserve">Web accessibility is frequently framed as a compliance checkbox rather than as a problem of information design: which visual choices allow a message to be perceived by the range of readers who will actually encounter it. Color contrast between text and its background is one of the most consequential of those choices, because unlike many other accessibility barriers it is silent — a page can look complete to a sighted designer working under ideal lighting on a calibrated monitor while remaining functionally illegible to a large fraction of visitors.</w:t>
      </w:r>
    </w:p>
    <w:p>
      <w:pPr>
        <w:spacing w:after="200"/>
      </w:pPr>
      <w:r>
        <w:rPr>
          <w:sz w:val="22"/>
          <w:szCs w:val="22"/>
        </w:rPr>
        <w:t xml:space="preserve">Large-scale, empirical audits of contrast compliance exist — most notably WebAIM's annual scan of the top one million global home pages (WebAIM, 2026), which finds low-contrast text on 83.9% of pages and identifies it as the single most common accessibility failure detected, unchanged in rank for seven consecutive years — but such global scans report an aggregate world figure and are not designed to, and do not, break results out for Latin American higher education specifically. Latin American higher education — more than 460 institutions across 19 countries — has not, to our knowledge, been the subject of a comparable regional census.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spacing w:after="200"/>
      </w:pPr>
      <w:r>
        <w:rPr>
          <w:sz w:val="22"/>
          <w:szCs w:val="22"/>
        </w:rPr>
        <w:t xml:space="preserve">This paper reports a census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color pairs, and classify every pair against the WCAG 2.2 (W3C, 2023) contrast thresholds. We ask two questions. First, at what rate do these institutions fail contrast requirements, and does that rate vary systematically by country? Second, what visual pattern — if any — characterizes the colors involved in a failure? The second question matters because the answer determines what kind of intervention would actually help: a narrow pattern (e.g., light gray body text) suggests a simple style-guide fix, while a diffuse one suggests a more structural design-literacy problem.</w:t>
      </w:r>
    </w:p>
    <w:p>
      <w:pPr>
        <w:pStyle w:val="Heading1"/>
        <w:spacing w:after="150" w:before="300"/>
      </w:pPr>
      <w:r>
        <w:t xml:space="preserve">2. Related Work</w:t>
      </w:r>
    </w:p>
    <w:p>
      <w:pPr>
        <w:spacing w:after="200"/>
      </w:pPr>
      <w:r>
        <w:rPr>
          <w:sz w:val="22"/>
          <w:szCs w:val="22"/>
        </w:rPr>
        <w:t xml:space="preserve">Contrast and legibility research inside the graphic design literature has largely focused on typography and reading performance rather than on regulatory thresholds. Weingerl et al. (2022) studied the visibility and legibility of short words under controlled experimental conditions, establishing that legibility judgments depend jointly on typographic and perceptual factors rather than on any single variable in isolation — a finding that motivates our decision to treat contrast as one factor among several (font size, weight) rather than in isolation. Punsongserm and Suvakunta (2025) conducted a technical review of typeface choice, type size, and color contrast in government mobile applications, and, closer to our own setting, found systematic WCAG non-compliance in public-sector digital products — a pattern we replicate, in a different modality and region, for public university websites. Ofosu-Asare (2024) examined usability and design evaluation techniques for online learning environments, underscoring that accessibility in educational digital products is usually assessed qualitatively or on small samples rather than through large-scale automated census, which is the gap this paper addresses directly for the chromatic dimension.</w:t>
      </w:r>
    </w:p>
    <w:p>
      <w:pPr>
        <w:pStyle w:val="Heading1"/>
        <w:spacing w:after="150" w:before="300"/>
      </w:pPr>
      <w:r>
        <w:t xml:space="preserve">3. Methodology</w:t>
      </w:r>
    </w:p>
    <w:p>
      <w:pPr>
        <w:spacing w:after="200"/>
      </w:pPr>
      <w:r>
        <w:rPr>
          <w:sz w:val="24"/>
          <w:szCs w:val="24"/>
        </w:rPr>
        <w:t xml:space="preserve">3.1 Site selection</w:t>
      </w:r>
    </w:p>
    <w:p>
      <w:pPr>
        <w:spacing w:after="200"/>
      </w:pPr>
      <w:r>
        <w:rPr>
          <w:sz w:val="22"/>
          <w:szCs w:val="22"/>
        </w:rPr>
        <w:t xml:space="preserve">We built the candidate list from the </w:t>
      </w:r>
      <w:r>
        <w:rPr>
          <w:sz w:val="22"/>
          <w:szCs w:val="22"/>
        </w:rPr>
        <w:t xml:space="preserve">Hipo/university-domains-list</w:t>
      </w:r>
      <w:r>
        <w:rPr>
          <w:sz w:val="22"/>
          <w:szCs w:val="22"/>
        </w:rPr>
        <w:t xml:space="preserve"> open dataset, filtered to the 19 countries of Latin America, and drew a stratified random sample across countries (capped per country to avoid Brazil and Mexico dominating the list). The final list contained 464 domains across 17 countries; the source dataset contained no entries for Bolivia or Venezuela, which are consequently absent from this study (see Limitations).</w:t>
      </w:r>
    </w:p>
    <w:p>
      <w:pPr>
        <w:spacing w:after="200"/>
      </w:pPr>
      <w:r>
        <w:rPr>
          <w:sz w:val="24"/>
          <w:szCs w:val="24"/>
        </w:rPr>
        <w:t xml:space="preserve">3.2 Crawling</w:t>
      </w:r>
    </w:p>
    <w:p>
      <w:pPr>
        <w:spacing w:after="200"/>
      </w:pPr>
      <w:r>
        <w:rPr>
          <w:sz w:val="22"/>
          <w:szCs w:val="22"/>
        </w:rPr>
        <w:t xml:space="preserve">Each homepage was visited with a headless Chromium browser (Playwright), identifying our crawler with a descriptive user agent and honoring </w:t>
      </w:r>
      <w:r>
        <w:rPr>
          <w:rFonts w:ascii="Courier New" w:cs="Courier New" w:eastAsia="Courier New" w:hAnsi="Courier New"/>
          <w:sz w:val="22"/>
          <w:szCs w:val="22"/>
        </w:rPr>
        <w:t xml:space="preserve">robots.txt</w:t>
      </w:r>
      <w:r>
        <w:rPr>
          <w:sz w:val="22"/>
          <w:szCs w:val="22"/>
        </w:rPr>
        <w:t xml:space="preserve"> (fetched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 </w:t>
      </w:r>
      <w:r>
        <w:rPr>
          <w:rFonts w:ascii="Courier New" w:cs="Courier New" w:eastAsia="Courier New" w:hAnsi="Courier New"/>
          <w:sz w:val="22"/>
          <w:szCs w:val="22"/>
        </w:rPr>
        <w:t xml:space="preserve">robots.txt</w:t>
      </w:r>
      <w:r>
        <w:rPr>
          <w:sz w:val="22"/>
          <w:szCs w:val="22"/>
        </w:rPr>
        <w:t xml:space="preserve"> (see Table 1).</w:t>
      </w:r>
    </w:p>
    <w:p>
      <w:pPr>
        <w:spacing w:after="200"/>
      </w:pPr>
      <w:r>
        <w:rPr>
          <w:sz w:val="24"/>
          <w:szCs w:val="24"/>
        </w:rPr>
        <w:t xml:space="preserve">3.3 Color pair extraction</w:t>
      </w:r>
    </w:p>
    <w:p>
      <w:pPr>
        <w:spacing w:after="200"/>
      </w:pPr>
      <w:r>
        <w:rPr>
          <w:sz w:val="22"/>
          <w:szCs w:val="22"/>
        </w:rPr>
        <w:t xml:space="preserve">For each of the 278 reachable sites we revisited the live page a second time and, via </w:t>
      </w:r>
      <w:r>
        <w:rPr>
          <w:rFonts w:ascii="Courier New" w:cs="Courier New" w:eastAsia="Courier New" w:hAnsi="Courier New"/>
          <w:sz w:val="22"/>
          <w:szCs w:val="22"/>
        </w:rPr>
        <w:t xml:space="preserve">getComputedStyle()</w:t>
      </w:r>
      <w:r>
        <w:rPr>
          <w:sz w:val="22"/>
          <w:szCs w:val="22"/>
        </w:rPr>
        <w:t xml:space="preserve">, extracted every visible text node's computed text color together with its </w:t>
      </w:r>
      <w:r>
        <w:rPr>
          <w:sz w:val="22"/>
          <w:szCs w:val="22"/>
        </w:rPr>
        <w:t xml:space="preserve">effective</w:t>
      </w:r>
      <w:r>
        <w:rPr>
          <w:sz w:val="22"/>
          <w:szCs w:val="22"/>
        </w:rPr>
        <w:t xml:space="preserve"> background color — resolved by walking up the DOM ancestor chain until a non-transparent background is found, since a text element's immediate parent is frequently transparent. Elements with zero width/height, </w:t>
      </w:r>
      <w:r>
        <w:rPr>
          <w:rFonts w:ascii="Courier New" w:cs="Courier New" w:eastAsia="Courier New" w:hAnsi="Courier New"/>
          <w:sz w:val="22"/>
          <w:szCs w:val="22"/>
        </w:rPr>
        <w:t xml:space="preserve">display:none</w:t>
      </w:r>
      <w:r>
        <w:rPr>
          <w:sz w:val="22"/>
          <w:szCs w:val="22"/>
        </w:rPr>
        <w:t xml:space="preserve">, </w:t>
      </w:r>
      <w:r>
        <w:rPr>
          <w:rFonts w:ascii="Courier New" w:cs="Courier New" w:eastAsia="Courier New" w:hAnsi="Courier New"/>
          <w:sz w:val="22"/>
          <w:szCs w:val="22"/>
        </w:rPr>
        <w:t xml:space="preserve">visibility:hidden</w:t>
      </w:r>
      <w:r>
        <w:rPr>
          <w:sz w:val="22"/>
          <w:szCs w:val="22"/>
        </w:rPr>
        <w:t xml:space="preserve">, or zero opacity were discarded. This step requires a live browser rather than the raw HTML saved during crawling, because a serialized DOM does not inline externally linked CSS; computing style from the saved markup alone would silently fall back to browser defaults. This yielded 41,360 color pairs from 259 sites (19 sites returned no usable pairs, typically due to navigation during evaluation).</w:t>
      </w:r>
    </w:p>
    <w:p>
      <w:pPr>
        <w:spacing w:after="200"/>
      </w:pPr>
      <w:r>
        <w:rPr>
          <w:sz w:val="24"/>
          <w:szCs w:val="24"/>
        </w:rPr>
        <w:t xml:space="preserve">3.4 Contrast calculation and cross-validation</w:t>
      </w:r>
    </w:p>
    <w:p>
      <w:pPr>
        <w:spacing w:after="200"/>
      </w:pPr>
      <w:r>
        <w:rPr>
          <w:sz w:val="22"/>
          <w:szCs w:val="22"/>
        </w:rPr>
        <w:t xml:space="preserve">Each pair's WCAG relative luminance and contrast ratio were computed directly from sRGB, and each pair was independently converted from sRGB to CIELAB (CIE, 1976) (D65 illuminant) for the clustering analysis. As a cross-check, we additionally ran the </w:t>
      </w:r>
      <w:r>
        <w:rPr>
          <w:rFonts w:ascii="Courier New" w:cs="Courier New" w:eastAsia="Courier New" w:hAnsi="Courier New"/>
          <w:sz w:val="22"/>
          <w:szCs w:val="22"/>
        </w:rPr>
        <w:t xml:space="preserve">axe-core</w:t>
      </w:r>
      <w:r>
        <w:rPr>
          <w:sz w:val="22"/>
          <w:szCs w:val="22"/>
        </w:rPr>
        <w:t xml:space="preserve"> accessibility engine (the library underlying most commercial accessibility linters) against the same live page and recorded its color-contrast violation and pass counts.</w:t>
      </w:r>
    </w:p>
    <w:p>
      <w:pPr>
        <w:spacing w:after="200"/>
      </w:pPr>
      <w:r>
        <w:rPr>
          <w:sz w:val="24"/>
          <w:szCs w:val="24"/>
        </w:rPr>
        <w:t xml:space="preserve">3.5 Classification and aggregation</w:t>
      </w:r>
    </w:p>
    <w:p>
      <w:pPr>
        <w:spacing w:after="200"/>
      </w:pPr>
      <w:r>
        <w:rPr>
          <w:sz w:val="22"/>
          <w:szCs w:val="22"/>
        </w:rPr>
        <w:t xml:space="preserve">Following WCAG 2.2, each pair was classified as </w:t>
      </w:r>
      <w:r>
        <w:rPr>
          <w:sz w:val="22"/>
          <w:szCs w:val="22"/>
        </w:rPr>
        <w:t xml:space="preserve">fail</w:t>
      </w:r>
      <w:r>
        <w:rPr>
          <w:sz w:val="22"/>
          <w:szCs w:val="22"/>
        </w:rPr>
        <w:t xml:space="preserve">, </w:t>
      </w:r>
      <w:r>
        <w:rPr>
          <w:sz w:val="22"/>
          <w:szCs w:val="22"/>
        </w:rPr>
        <w:t xml:space="preserve">AA</w:t>
      </w:r>
      <w:r>
        <w:rPr>
          <w:sz w:val="22"/>
          <w:szCs w:val="22"/>
        </w:rPr>
        <w:t xml:space="preserve">, or </w:t>
      </w:r>
      <w:r>
        <w:rPr>
          <w:sz w:val="22"/>
          <w:szCs w:val="22"/>
        </w:rPr>
        <w:t xml:space="preserve">AAA</w:t>
      </w:r>
      <w:r>
        <w:rPr>
          <w:sz w:val="22"/>
          <w:szCs w:val="22"/>
        </w:rPr>
        <w:t xml:space="preserve"> using thresholds that depend on text size: 3:1 (AA) / 4.5:1 (AAA) for large text (≥24px, or ≥18.66px bold), and 4.5:1 (AA) / 7:1 (AAA) otherwise. Results were aggregated per site (median ratio, % of pairs failing AA, whether the site has at least one critical failure).</w:t>
      </w:r>
    </w:p>
    <w:p>
      <w:pPr>
        <w:spacing w:after="200"/>
      </w:pPr>
      <w:r>
        <w:rPr>
          <w:sz w:val="24"/>
          <w:szCs w:val="24"/>
        </w:rPr>
        <w:t xml:space="preserve">3.6 Statistical analysis</w:t>
      </w:r>
    </w:p>
    <w:p>
      <w:pPr>
        <w:spacing w:after="200"/>
      </w:pPr>
      <w:r>
        <w:rPr>
          <w:sz w:val="22"/>
          <w:szCs w:val="22"/>
        </w:rPr>
        <w:t xml:space="preserve">We tested independence between country and AA compliance with a χ² test (continuity-corrected, restricted to countries with ≥30 pairs) and report Cramér's V as effect size. This test, like any test run on the 41,360-pair table, treats color pairs as independent observations, but pairs from the same site share a common design system and are not independent draws —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 χ² test on each site's binary critical-failure status, and a Kruskal-Wallis test on each site's continuous %AA-failure, both restricted to the 16 countries with ≥5 sites (256 of 259 sites). We fit a logistic regression of pair-level failure on country, font size, and whether the text qualifies as “large,” and we clustered the failing pairs' text-color coordinates in the CIELAB a∗b∗ plane with k-means, selecting k by silhouette score over k ∈ {2,…,6}.</w:t>
      </w:r>
    </w:p>
    <w:p>
      <w:pPr>
        <w:pStyle w:val="Heading1"/>
        <w:spacing w:after="150" w:before="300"/>
      </w:pPr>
      <w:r>
        <w:t xml:space="preserve">4.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tblGrid>
      <w:tr>
        <w:trPr>
          <w:tblHeader/>
        </w:trPr>
        <w:tc>
          <w:tcPr>
            <w:tcW w:type="dxa" w:w="7200"/>
            <w:shd w:fill="D9D9D9" w:color="auto" w:val="clear"/>
          </w:tcPr>
          <w:p>
            <w:r>
              <w:rPr>
                <w:b/>
                <w:bCs/>
                <w:sz w:val="20"/>
                <w:szCs w:val="20"/>
              </w:rPr>
              <w:t xml:space="preserve">Outcome</w:t>
            </w:r>
          </w:p>
        </w:tc>
        <w:tc>
          <w:tcPr>
            <w:tcW w:type="dxa" w:w="1800"/>
            <w:shd w:fill="D9D9D9" w:color="auto" w:val="clear"/>
          </w:tcPr>
          <w:p>
            <w:r>
              <w:rPr>
                <w:b/>
                <w:bCs/>
                <w:sz w:val="20"/>
                <w:szCs w:val="20"/>
              </w:rPr>
              <w:t xml:space="preserve">Count</w:t>
            </w:r>
          </w:p>
        </w:tc>
      </w:tr>
      <w:tr>
        <w:tc>
          <w:tcPr>
            <w:tcW w:type="dxa" w:w="7200"/>
          </w:tcPr>
          <w:p>
            <w:r>
              <w:rPr>
                <w:sz w:val="20"/>
                <w:szCs w:val="20"/>
              </w:rPr>
              <w:t xml:space="preserve">Successfully rendered</w:t>
            </w:r>
          </w:p>
        </w:tc>
        <w:tc>
          <w:tcPr>
            <w:tcW w:type="dxa" w:w="1800"/>
          </w:tcPr>
          <w:p>
            <w:r>
              <w:rPr>
                <w:sz w:val="20"/>
                <w:szCs w:val="20"/>
              </w:rPr>
              <w:t xml:space="preserve">278</w:t>
            </w:r>
          </w:p>
        </w:tc>
      </w:tr>
      <w:tr>
        <w:tc>
          <w:tcPr>
            <w:tcW w:type="dxa" w:w="7200"/>
          </w:tcPr>
          <w:p>
            <w:r>
              <w:rPr>
                <w:sz w:val="20"/>
                <w:szCs w:val="20"/>
              </w:rPr>
              <w:t xml:space="preserve">Unreachable / timed out / other error</w:t>
            </w:r>
          </w:p>
        </w:tc>
        <w:tc>
          <w:tcPr>
            <w:tcW w:type="dxa" w:w="1800"/>
          </w:tcPr>
          <w:p>
            <w:r>
              <w:rPr>
                <w:sz w:val="20"/>
                <w:szCs w:val="20"/>
              </w:rPr>
              <w:t xml:space="preserve">167</w:t>
            </w:r>
          </w:p>
        </w:tc>
      </w:tr>
      <w:tr>
        <w:tc>
          <w:tcPr>
            <w:tcW w:type="dxa" w:w="7200"/>
          </w:tcPr>
          <w:p>
            <w:r>
              <w:rPr>
                <w:sz w:val="20"/>
                <w:szCs w:val="20"/>
              </w:rPr>
              <w:t xml:space="preserve">Excluded by robots.txt</w:t>
            </w:r>
          </w:p>
        </w:tc>
        <w:tc>
          <w:tcPr>
            <w:tcW w:type="dxa" w:w="1800"/>
          </w:tcPr>
          <w:p>
            <w:r>
              <w:rPr>
                <w:sz w:val="20"/>
                <w:szCs w:val="20"/>
              </w:rPr>
              <w:t xml:space="preserve">19</w:t>
            </w:r>
          </w:p>
        </w:tc>
      </w:tr>
    </w:tbl>
    <w:p>
      <w:pPr>
        <w:spacing w:after="300" w:before="100"/>
      </w:pPr>
      <w:r>
        <w:rPr>
          <w:b w:val="false"/>
          <w:bCs w:val="false"/>
          <w:i/>
          <w:iCs/>
          <w:sz w:val="18"/>
          <w:szCs w:val="18"/>
        </w:rPr>
        <w:t xml:space="preserve">Table 1. Crawl outcomes for the 464 sampled domains.</w:t>
      </w:r>
    </w:p>
    <w:p>
      <w:pPr>
        <w:spacing w:after="200"/>
      </w:pPr>
      <w:r>
        <w:rPr>
          <w:sz w:val="22"/>
          <w:szCs w:val="22"/>
        </w:rPr>
        <w:t xml:space="preserve">Across the 41,360 extracted color pairs, 21.6% fail the applicable WCAG AA threshold, 16.6% meet AA but not AAA, and 61.8% meet AAA (Figure 1). At the site level, 93.5% of the 259 successfully analyzed homepages contain at least one critical (failing) pair, and the median site has 19.9% of its pairs failing AA — so failures are not concentrated in a handful of outlier institutions; they are the norm. This per-page failure rate is directly comparable to, and higher than, WebAIM's 83.9% figure for the global top one million home pages (WebAIM, 2026) — Latin American university homepages in our sample fail at least as often as, and by this measure somewhat more often than, the world's most-visited sites in general.</w:t>
      </w:r>
    </w:p>
    <w:p>
      <w:pPr>
        <w:spacing w:after="100" w:before="200"/>
        <w:jc w:val="center"/>
      </w:pPr>
      <w:r>
        <w:drawing>
          <wp:inline distT="0" distB="0" distL="0" distR="0">
            <wp:extent cx="4572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86100"/>
                    </a:xfrm>
                    <a:prstGeom prst="rect">
                      <a:avLst/>
                    </a:prstGeom>
                  </pic:spPr>
                </pic:pic>
              </a:graphicData>
            </a:graphic>
          </wp:inline>
        </w:drawing>
      </w:r>
    </w:p>
    <w:p>
      <w:pPr>
        <w:spacing w:after="300" w:before="100"/>
      </w:pPr>
      <w:r>
        <w:rPr>
          <w:b w:val="false"/>
          <w:bCs w:val="false"/>
          <w:i/>
          <w:iCs/>
          <w:sz w:val="18"/>
          <w:szCs w:val="18"/>
        </w:rPr>
        <w:t xml:space="preserve">Figure 1. Distribution of WCAG contrast ratios across the 41,360 extracted color pairs, with the AA and AAA thresholds marked.</w:t>
      </w:r>
    </w:p>
    <w:p>
      <w:pPr>
        <w:spacing w:after="200"/>
      </w:pPr>
      <w:r>
        <w:rPr>
          <w:sz w:val="22"/>
          <w:szCs w:val="22"/>
        </w:rPr>
        <w:t xml:space="preserve">The pair-level test suggests compliance varies by country (χ² = 1625.04, df = 16, p &lt; 0.001, Cramér's V = 0.198; Figure 2), and the pair-level logistic regression finds most country coefficients individually significant (e.g., Paraguay: β = −2.23, p &lt; 0.001; Cuba: β = +0.57, p &lt; 0.001). We do not take this at face value: because pairs are clustered within sites, the pair-level test's effective sample size (41,360) overstates independent information, and its p-values should be read as optimistic. The site-level test, restricted to the 256 sites in the 16 countries with ≥5 sites, is </w:t>
      </w:r>
      <w:r>
        <w:rPr>
          <w:sz w:val="22"/>
          <w:szCs w:val="22"/>
        </w:rPr>
        <w:t xml:space="preserve">not</w:t>
      </w:r>
      <w:r>
        <w:rPr>
          <w:sz w:val="22"/>
          <w:szCs w:val="22"/>
        </w:rPr>
        <w:t xml:space="preserve"> significant either on critical-failure status (χ² = 22.98, df = 15, p = 0.085) or on continuous %AA-failure (Kruskal-Wallis H = 21.53, p = 0.121). We therefore report the country effect as a real but unresolved pattern — visible and directionally consistent at the pair level, not confirmed at the site level with the sample sizes available here — rather than as a confirmed finding, and we do not treat the specific per-country coefficients above as reliable individually. Typography is on firmer ground: because “large text” varies within a site (a single page mixes body and heading sizes), its effect is not vulnerable to the same between-site clustering concern, and pairs classified as large text have significantly lower odds of failure (β = −0.10, p = 0.022), consistent with WCAG's own more lenient threshold for large text, while raw font size in pixels shows a small but significant </w:t>
      </w:r>
      <w:r>
        <w:rPr>
          <w:sz w:val="22"/>
          <w:szCs w:val="22"/>
        </w:rPr>
        <w:t xml:space="preserve">positive</w:t>
      </w:r>
      <w:r>
        <w:rPr>
          <w:sz w:val="22"/>
          <w:szCs w:val="22"/>
        </w:rPr>
        <w:t xml:space="preserve"> association with failure (β = +0.0108, p &lt; 0.001) once the large-text category is already accounted for.</w:t>
      </w:r>
    </w:p>
    <w:p>
      <w:pPr>
        <w:spacing w:after="100" w:before="200"/>
        <w:jc w:val="center"/>
      </w:pPr>
      <w: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43225"/>
                    </a:xfrm>
                    <a:prstGeom prst="rect">
                      <a:avLst/>
                    </a:prstGeom>
                  </pic:spPr>
                </pic:pic>
              </a:graphicData>
            </a:graphic>
          </wp:inline>
        </w:drawing>
      </w:r>
    </w:p>
    <w:p>
      <w:pPr>
        <w:spacing w:after="300" w:before="100"/>
      </w:pPr>
      <w:r>
        <w:rPr>
          <w:b w:val="false"/>
          <w:bCs w:val="false"/>
          <w:i/>
          <w:iCs/>
          <w:sz w:val="18"/>
          <w:szCs w:val="18"/>
        </w:rPr>
        <w:t xml:space="preserve">Figure 2. AA compliance rate by country, pair-level (descriptive; see main text for why the associated significance test is not treated as confirmatory).</w:t>
      </w:r>
    </w:p>
    <w:p>
      <w:pPr>
        <w:spacing w:after="200"/>
      </w:pPr>
      <w:r>
        <w:rPr>
          <w:sz w:val="22"/>
          <w:szCs w:val="22"/>
        </w:rPr>
        <w:t xml:space="preserve">The k-means clustering of the 8,925 failing pairs' text-color coordinates in CIELAB a∗b∗ space selected k = 6 as the best-supported solution (silhouette = 0.854, versus 0.804 at k = 2), producing six well-separated color families rather than a single dominant “gray text” cluster: a near-neutral low-chroma cluster, and five clearly chromatic clusters spanning red, yellow, green, purple, and blue-purple regions of the plane (Figure 3). Agreement between our contrast-ratio-based failure count and </w:t>
      </w:r>
      <w:r>
        <w:rPr>
          <w:rFonts w:ascii="Courier New" w:cs="Courier New" w:eastAsia="Courier New" w:hAnsi="Courier New"/>
          <w:sz w:val="22"/>
          <w:szCs w:val="22"/>
        </w:rPr>
        <w:t xml:space="preserve">axe-core</w:t>
      </w:r>
      <w:r>
        <w:rPr>
          <w:sz w:val="22"/>
          <w:szCs w:val="22"/>
        </w:rPr>
        <w:t xml:space="preserve">'s independent color-contrast violation count is positive but moderate (r = 0.347 across sites), which is expected given the two tools differ in which elements they consider evaluable (axe-core additionally skips certain non-text and gradient cases that our extraction still captures).</w:t>
      </w:r>
    </w:p>
    <w:p>
      <w:pPr>
        <w:spacing w:after="100" w:before="200"/>
        <w:jc w:val="center"/>
      </w:pPr>
      <w:r>
        <w:drawing>
          <wp:inline distT="0" distB="0" distL="0" distR="0">
            <wp:extent cx="41910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819525"/>
                    </a:xfrm>
                    <a:prstGeom prst="rect">
                      <a:avLst/>
                    </a:prstGeom>
                  </pic:spPr>
                </pic:pic>
              </a:graphicData>
            </a:graphic>
          </wp:inline>
        </w:drawing>
      </w:r>
    </w:p>
    <w:p>
      <w:pPr>
        <w:spacing w:after="300" w:before="100"/>
      </w:pPr>
      <w:r>
        <w:rPr>
          <w:b w:val="false"/>
          <w:bCs w:val="false"/>
          <w:i/>
          <w:iCs/>
          <w:sz w:val="18"/>
          <w:szCs w:val="18"/>
        </w:rPr>
        <w:t xml:space="preserve">Figure 3. Failing pairs' text-color coordinates in the CIELAB a∗b∗ plane, colored by k-means cluster (k = 6); point size encodes L* (lightness).</w:t>
      </w:r>
    </w:p>
    <w:p>
      <w:pPr>
        <w:pStyle w:val="Heading1"/>
        <w:spacing w:after="150" w:before="300"/>
      </w:pPr>
      <w:r>
        <w:t xml:space="preserve">5. Discussion</w:t>
      </w:r>
    </w:p>
    <w:p>
      <w:pPr>
        <w:spacing w:after="200"/>
      </w:pPr>
      <w:r>
        <w:rPr>
          <w:sz w:val="22"/>
          <w:szCs w:val="22"/>
        </w:rPr>
        <w:t xml:space="preserve">That most Latin American university homepages fail WCAG contrast requirements mirrors findings from other regions and is, on its own, unsurprising. What is less expected is that the </w:t>
      </w:r>
      <w:r>
        <w:rPr>
          <w:sz w:val="22"/>
          <w:szCs w:val="22"/>
        </w:rPr>
        <w:t xml:space="preserve">failures do not have a single dominant visual signature</w:t>
      </w:r>
      <w:r>
        <w:rPr>
          <w:sz w:val="22"/>
          <w:szCs w:val="22"/>
        </w:rPr>
        <w:t xml:space="preserve">. Our working hypothesis, drawn from common assumptions in the accessibility-audit literature, was that failures would concentrate in three familiar patterns: light gray text on white, text over unmasked photographic backgrounds, and unverified interaction states (hover/focus/visited). The clustering result complicates that story: while a large near-neutral cluster consistent with the “light gray on white” pattern is present, it accounts for only one of six roughly comparable clusters. Chromatic failures — saturated brand colors used directly as text color against a similarly saturated or photographic background — appear to be at least as common as low-chroma ones.</w:t>
      </w:r>
    </w:p>
    <w:p>
      <w:pPr>
        <w:spacing w:after="200"/>
      </w:pPr>
      <w:r>
        <w:rPr>
          <w:sz w:val="22"/>
          <w:szCs w:val="22"/>
        </w:rPr>
        <w:t xml:space="preserve">For the institutions themselves, this changes what a fix looks like: a style guide that only warns designers away from light gray text will miss the majority of the actual failure modes observed here. The more plausible explanation is that these failures follow from institutional brand palettes (a university's primary color used directly as a text color, regardless of what it sits on) rather than from a single stylistic trend, which would explain both the diversity of clusters and the country-level variation — different national/institutional design conventions produce different brand palettes, and therefore different failure signatures (Figure 4 shows four representative examples).</w:t>
      </w:r>
    </w:p>
    <w:p>
      <w:pPr>
        <w:spacing w:after="100" w:before="200"/>
        <w:jc w:val="center"/>
      </w:pPr>
      <w:r>
        <w:drawing>
          <wp:inline distT="0" distB="0" distL="0" distR="0">
            <wp:extent cx="4572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048125"/>
                    </a:xfrm>
                    <a:prstGeom prst="rect">
                      <a:avLst/>
                    </a:prstGeom>
                  </pic:spPr>
                </pic:pic>
              </a:graphicData>
            </a:graphic>
          </wp:inline>
        </w:drawing>
      </w:r>
    </w:p>
    <w:p>
      <w:pPr>
        <w:spacing w:after="300" w:before="100"/>
      </w:pPr>
      <w:r>
        <w:rPr>
          <w:b w:val="false"/>
          <w:bCs w:val="false"/>
          <w:i/>
          <w:iCs/>
          <w:sz w:val="18"/>
          <w:szCs w:val="18"/>
        </w:rPr>
        <w:t xml:space="preserve">Figure 4. Homepages among the highest AA-failure rates in the sample, illustrating the brand-palette pattern described above: saturated institutional colors used directly as text or overlay color rather than as accents. Captures show only public institutional cover content, not personal data.</w:t>
      </w:r>
    </w:p>
    <w:p>
      <w:pPr>
        <w:spacing w:after="200"/>
      </w:pPr>
      <w:r>
        <w:rPr>
          <w:sz w:val="22"/>
          <w:szCs w:val="22"/>
        </w:rP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 the WCAG ratio alone cannot distinguish the qualitatively different failure patterns we report.</w:t>
      </w:r>
    </w:p>
    <w:p>
      <w:pPr>
        <w:pStyle w:val="Heading1"/>
        <w:spacing w:after="150" w:before="300"/>
      </w:pPr>
      <w:r>
        <w:t xml:space="preserve">6. Limitations</w:t>
      </w:r>
    </w:p>
    <w:p>
      <w:pPr>
        <w:spacing w:after="200"/>
      </w:pPr>
      <w:r>
        <w:rPr>
          <w:sz w:val="22"/>
          <w:szCs w:val="22"/>
        </w:rPr>
        <w:t xml:space="preserve">This study has several limitations. First, we crawled homepages only, not full sites; a homepage that passes may sit atop a site with far worse compliance on interior pages (or vice versa). Second, we measured only color contrast, which is one of many WCAG success criteria; a chromatically compliant site can still be inaccessible on other dimensions (keyboard navigation, alt text, semantic structure). Third, the crawl captures a single point in time (August 2026); institutional websites are redesigned periodically, so these figures are not stable indefinitely. Fourth, the source domain list had no entries for Bolivia or Venezuela, so the 17-country sample is not a complete census of the region. Fifth, and most consequential for how the country results should be read: color pairs are clustered within sites (a single homepage contributes many pairs sharing one design system), so the pair-level χ² and logistic-regression tests overstate independent sample size and their p-values are optimistic; the site-level check we report alongside them (256 sites, p = 0.085)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Finally, the moderate correlation with </w:t>
      </w:r>
      <w:r>
        <w:rPr>
          <w:rFonts w:ascii="Courier New" w:cs="Courier New" w:eastAsia="Courier New" w:hAnsi="Courier New"/>
          <w:sz w:val="22"/>
          <w:szCs w:val="22"/>
        </w:rPr>
        <w:t xml:space="preserve">axe-core</w:t>
      </w:r>
      <w:r>
        <w:rPr>
          <w:sz w:val="22"/>
          <w:szCs w:val="22"/>
        </w:rPr>
        <w:t xml:space="preserve"> reflects genuine methodological differences between contrast-ratio counting and axe-core's rule engine rather than a validity problem with either approach, but it means the two should be read as complementary rather than interchangeable estimates.</w:t>
      </w:r>
    </w:p>
    <w:p>
      <w:pPr>
        <w:pStyle w:val="Heading1"/>
        <w:spacing w:after="150" w:before="300"/>
      </w:pPr>
      <w:r>
        <w:t xml:space="preserve">7. Conclusion</w:t>
      </w:r>
    </w:p>
    <w:p>
      <w:pPr>
        <w:spacing w:after="200"/>
      </w:pPr>
      <w:r>
        <w:rPr>
          <w:sz w:val="22"/>
          <w:szCs w:val="22"/>
        </w:rPr>
        <w:t xml:space="preserve">A homepage-level census of 259 Latin American university websites finds that WCAG AA contrast failures are the norm rather than the exception (93.5% of sites affected, 21.6% of all measured pairs); a country effect is visible at the pair level but is not confirmed once the actual unit of analysis (site) and the clustering of pairs within a site are accounted for, and we report it as an open question rather than a settled result. Against our own initial hypothesis, the colors involved in these failures do not reduce to a single “light gray on white” pattern: unsupervised clustering in CIELAB space reveals at least six distinct chromatic failure families, most of them fully saturated rather than washed-out. This suggests that institutional brand-color misuse, not a narrow stylistic trend, is the more likely driver, and that accessibility guidance for this region should address brand-palette contrast checking specifically rather than relying on generic “avoid light gray text” advice.</w:t>
      </w:r>
    </w:p>
    <w:p>
      <w:pPr>
        <w:pStyle w:val="Heading1"/>
        <w:spacing w:after="150" w:before="300"/>
      </w:pPr>
      <w:r>
        <w:t xml:space="preserve">Data Availability</w:t>
      </w:r>
    </w:p>
    <w:p>
      <w:pPr>
        <w:spacing w:after="200"/>
      </w:pPr>
      <w:r>
        <w:rPr>
          <w:sz w:val="22"/>
          <w:szCs w:val="22"/>
        </w:rPr>
        <w:t xml:space="preserve">The domain list, crawl logs, extracted color pairs,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w:t>
      </w:r>
    </w:p>
    <w:p>
      <w:pPr>
        <w:pStyle w:val="Heading1"/>
        <w:spacing w:after="150" w:before="300"/>
      </w:pPr>
      <w:r>
        <w:t xml:space="preserve">References</w:t>
      </w:r>
    </w:p>
    <w:p>
      <w:pPr>
        <w:spacing w:after="150"/>
        <w:ind w:left="400" w:hanging="400"/>
      </w:pPr>
      <w:r>
        <w:rPr>
          <w:sz w:val="20"/>
          <w:szCs w:val="20"/>
        </w:rPr>
        <w:t xml:space="preserve">International Commission on Illumination (CIE). (1976). Colorimetry — Part 4: CIE 1976 L*a∗b∗ Colour Space. CIE. https://cie.co.at/publications/colorimetry-part-4-cie-1976-lab-colour-space-0</w:t>
      </w:r>
    </w:p>
    <w:p>
      <w:pPr>
        <w:spacing w:after="150"/>
        <w:ind w:left="400" w:hanging="400"/>
      </w:pPr>
      <w:r>
        <w:rPr>
          <w:sz w:val="20"/>
          <w:szCs w:val="20"/>
        </w:rPr>
        <w:t xml:space="preserve">Ofosu-Asare, Y. (2024). Enhancing user experience in online learning environments: Design, evaluation, and usability techniques. Journal of Graphic Engineering and Design, 15(4), 45–59. https://doi.org/10.24867/JGED-2024-4-045</w:t>
      </w:r>
    </w:p>
    <w:p>
      <w:pPr>
        <w:spacing w:after="150"/>
        <w:ind w:left="400" w:hanging="400"/>
      </w:pPr>
      <w:r>
        <w:rPr>
          <w:sz w:val="20"/>
          <w:szCs w:val="20"/>
        </w:rPr>
        <w:t xml:space="preserve">Punsongserm, R., &amp; Suvakunta, P. (2025). Enhancing accessibility of Thai government mobile applications through effective use of typefaces, type sizes, and colour contrast: A technical review. Journal of Graphic Engineering and Design, 16(1). https://doi.org/10.24867/JGED-2025-1-017</w:t>
      </w:r>
    </w:p>
    <w:p>
      <w:pPr>
        <w:spacing w:after="150"/>
        <w:ind w:left="400" w:hanging="400"/>
      </w:pPr>
      <w:r>
        <w:rPr>
          <w:sz w:val="20"/>
          <w:szCs w:val="20"/>
        </w:rPr>
        <w:t xml:space="preserve">Weingerl, P., Nedeljković, U., &amp; Pušnik, N. (2022). Visibility and legibility of five-letter words in different experimental conditions. Journal of Graphic Engineering and Design, 13(3), 51–58. https://doi.org/10.24867/JGED-2022-3-051</w:t>
      </w:r>
    </w:p>
    <w:p>
      <w:pPr>
        <w:spacing w:after="150"/>
        <w:ind w:left="400" w:hanging="400"/>
      </w:pPr>
      <w:r>
        <w:rPr>
          <w:sz w:val="20"/>
          <w:szCs w:val="20"/>
        </w:rPr>
        <w:t xml:space="preserve">WebAIM. (2026). The WebAIM Million: The 2026 Report on the Accessibility of the Top 1,000,000 Home Pages. https://webaim.org/projects/million/</w:t>
      </w:r>
    </w:p>
    <w:p>
      <w:pPr>
        <w:spacing w:after="150"/>
        <w:ind w:left="400" w:hanging="400"/>
      </w:pPr>
      <w:r>
        <w:rPr>
          <w:sz w:val="20"/>
          <w:szCs w:val="20"/>
        </w:rPr>
        <w:t xml:space="preserve">World Wide Web Consortium (W3C). (2023). Web Content Accessibility Guidelines (WCAG) 2.2. W3C Recommendation, 5 October 2023. https://www.w3.org/TR/WCAG22/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7fe3cf49da88502a3a7e31f3e5ed49a10c25aa.png"/><Relationship Id="rId8" Type="http://schemas.openxmlformats.org/officeDocument/2006/relationships/image" Target="media/675cf51b3ed531dded15ac87b83ba15b4e4b037b.png"/><Relationship Id="rId9" Type="http://schemas.openxmlformats.org/officeDocument/2006/relationships/image" Target="media/fa121311883b3058a80b34aca801b517acb8755f.png"/><Relationship Id="rId10" Type="http://schemas.openxmlformats.org/officeDocument/2006/relationships/image" Target="media/d167c7efb3077991acc4cfb11021b71bc580d5f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2026-08-21T16:48:08.358Z</dcterms:created>
  <dcterms:modified xsi:type="dcterms:W3CDTF">2026-08-21T16:48:08.359Z</dcterms:modified>
</cp:coreProperties>
</file>

<file path=docProps/custom.xml><?xml version="1.0" encoding="utf-8"?>
<Properties xmlns="http://schemas.openxmlformats.org/officeDocument/2006/custom-properties" xmlns:vt="http://schemas.openxmlformats.org/officeDocument/2006/docPropsVTypes"/>
</file>