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rPr>
          <w:i/>
          <w:iCs/>
        </w:rPr>
        <w:t xml:space="preserve">Anonymous Authors for Double-Blind Peer Review</w:t>
      </w:r>
    </w:p>
    <w:p>
      <w:pPr>
        <w:pStyle w:val="BodyText"/>
      </w:pPr>
      <w:r>
        <w:rPr>
          <w:i/>
          <w:iCs/>
        </w:rPr>
        <w:t xml:space="preserve">(Author details and institutional affiliations omitted per JGED double-blind review policy)</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93.5%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rather than independent, we treat this as exploratory: a site-level test on the true unit of analysis (256 sites, countries with</w:t>
      </w:r>
      <w:r>
        <w:t xml:space="preserve"> </w:t>
      </w:r>
      <m:oMath>
        <m:r>
          <m:rPr>
            <m:sty m:val="p"/>
          </m:rPr>
          <m:t>≥</m:t>
        </m:r>
      </m:oMath>
      <w:r>
        <w:t xml:space="preserve">5 sites) is not significant (</w:t>
      </w:r>
      <m:oMath>
        <m:sSup>
          <m:e>
            <m:r>
              <m:t>χ</m:t>
            </m:r>
          </m:e>
          <m:sup>
            <m:r>
              <m:t>2</m:t>
            </m:r>
          </m:sup>
        </m:sSup>
        <m:r>
          <m:rPr>
            <m:sty m:val="p"/>
          </m:rPr>
          <m:t>=</m:t>
        </m:r>
        <m:r>
          <m:t>22.98</m:t>
        </m:r>
      </m:oMath>
      <w:r>
        <w:t xml:space="preserve">,</w:t>
      </w:r>
      <w:r>
        <w:t xml:space="preserve"> </w:t>
      </w:r>
      <m:oMath>
        <m:r>
          <m:t>d</m:t>
        </m:r>
        <m:r>
          <m:t>f</m:t>
        </m:r>
        <m:r>
          <m:rPr>
            <m:sty m:val="p"/>
          </m:rPr>
          <m:t>=</m:t>
        </m:r>
        <m:r>
          <m:t>15</m:t>
        </m:r>
      </m:oMath>
      <w:r>
        <w:t xml:space="preserve">,</w:t>
      </w:r>
      <w:r>
        <w:t xml:space="preserve"> </w:t>
      </w:r>
      <m:oMath>
        <m:r>
          <m:t>p</m:t>
        </m:r>
        <m:r>
          <m:rPr>
            <m:sty m:val="p"/>
          </m:rPr>
          <m:t>=</m:t>
        </m:r>
        <m:r>
          <m:t>0.085</m:t>
        </m:r>
      </m:oMath>
      <w:r>
        <w:t xml:space="preserve">). A within-site typography effect (large text failing less often) does not survive site-clustered sandwich standard errors (</w:t>
      </w:r>
      <m:oMath>
        <m:r>
          <m:t>p</m:t>
        </m:r>
        <m:r>
          <m:rPr>
            <m:sty m:val="p"/>
          </m:rPr>
          <m:t>=</m:t>
        </m:r>
        <m:r>
          <m:t>0.473</m:t>
        </m:r>
      </m:oMath>
      <w:r>
        <w:t xml:space="preserve">), although continuous font size in pixels retains a small association with failure (</w:t>
      </w:r>
      <m:oMath>
        <m:r>
          <m:t>p</m:t>
        </m:r>
        <m:r>
          <m:rPr>
            <m:sty m:val="p"/>
          </m:rPr>
          <m:t>=</m:t>
        </m:r>
        <m:r>
          <m:t>0.027</m:t>
        </m:r>
      </m:oMath>
      <w:r>
        <w:t xml:space="preserve">). Unsupervised clustering of the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supports the initial hypothesis: near-neutral, low-chroma clusters consistent with the</w:t>
      </w:r>
      <w:r>
        <w:t xml:space="preserve"> </w:t>
      </w:r>
      <w:r>
        <w:t xml:space="preserve">“light grey on white”</w:t>
      </w:r>
      <w:r>
        <w:t xml:space="preserve"> </w:t>
      </w:r>
      <w:r>
        <w:t xml:space="preserve">pattern account for 80.0% of all failing pairs, with four smaller chromatic clusters spanning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single most common accessibility failure detected, unchanged in rank for seven consecutive years. Such global scans report an aggregate world figure, though, and are not designed to, and do not, break results out for Latin American higher education specifically. Latin American higher education, more than 460 institutions across 19 countries,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two low-chroma, near-neutral clusters (a near-white and a mid-grey pattern) jointly dominate, with four smaller chromatic clusters accounting for the remainder.</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rather than on regulatory thresholds. Weingerl et al.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and Suvakunta (2025) conducted a technical review of typeface choice, type size, and colour contrast in government mobile applications, and, closer to our own setting, found systematic WCAG non-compliance in public-sector digital products, a pattern we replicate, in a different modality and region, for public university websites. Ofosu-Asare (2024) examined usability and design evaluation techniques for online learning environments, underscoring that accessibility in educational digital products is usually assessed qualitatively or on small samples rather than through a large-scale automated survey, which is the gap this paper addresses directly for the chromatic dimension. Chromatic reproduction in printed media (including the drying and ink formulation properties that govern gamut and delta-E) has been studied within this journal’s tradition (Saad et al., 2021); the digital counterpart of that problem, namely whether the sRGB palette chosen for web interfaces falls within the perceptually accessible gamut, is the chromatic problem this paper addresses.</w:t>
      </w:r>
    </w:p>
    <w:p>
      <w:pPr>
        <w:pStyle w:val="BodyText"/>
      </w:pPr>
      <w:r>
        <w:t xml:space="preserve">The conceptual foundation of our study rests on the universal web accessibility argument advanced by Henry et al. (2014), who established that accessibility is not a special-case concern for users with disabilities but a universal quality requirement: low contrast degrades legibility for all users under adverse ambient conditions (sunlight, low-quality screens, ageing displays), making compliance with WCAG contrast thresholds a baseline quality requirement rather than a minority accommodation. Rello and Baeza-Yates (2013) further demonstrated that typographic and chromatic choices jointly affect reading speed and comprehension for users with dyslexia, a population not typically captured by automated accessibility audits focused on WCAG pass/fail, reinforcing the argument that a perceptual analysis in continuous CIELAB space, rather than a binary threshold test, provides richer information about the actual user experience.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et al., 2018) evaluated 348 Latin American university websites using the WAVE automated accessibility engine, cataloguing a broad range of WCAG 2.0 failures and confirming that colour contrast is among the most frequently occurring ones; it is the benchmark against which our 93.5% per-site failure rate and our 21.6% pair-level failure rate should be positioned. A subsequent heuristic method for low-vision accessibility (Acosta-Vargas et al., 2019) extended this to a perceptual dimension, arguing that WCAG’s relative-luminance threshold is a necessary but not perceptually sufficient criterion, a theoretical position that directly motivates our decision to cluster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rather than stopping at the WCAG ratio alone. Their 2020 dataset (Acosta-Vargas et al.,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colour pair in CIELAB coordinates rather than returning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mobile-app study (Acosta-Vargas et al., 2021) reported that 86% of Ecuadorian Android applications in Google Play failed WCAG contrast criteria, situating our university-website result within a broader pattern of contrast non-compliance across the Latin American digital product ecosystem.</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and drew a stratified random sample across countries (capped per country to avoid Brazil and Mexico dominating the list). The final list contained 464 domains across 17 countries; the source dataset contained no entries for Bolivia or Venezuela, which are consequently absent from this study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This step requires a live browser rather than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1976) (</w:t>
      </w:r>
      <m:oMath>
        <m:sSub>
          <m:e>
            <m:r>
              <m:t>D</m:t>
            </m:r>
          </m:e>
          <m:sub>
            <m:r>
              <m:t>65</m:t>
            </m:r>
          </m:sub>
        </m:sSub>
      </m:oMath>
      <w:r>
        <w:t xml:space="preserve"> </w:t>
      </w:r>
      <w:r>
        <w:t xml:space="preserve">illuminant) for the clustering analysis.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whether the site has at least one critical failure).</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(256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survive proper clustering rather than only the country effect.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searched</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for a silhouette-optimal solution before fixing</w:t>
      </w:r>
      <w:r>
        <w:t xml:space="preserve"> </w:t>
      </w:r>
      <m:oMath>
        <m:r>
          <m:t>k</m:t>
        </m:r>
        <m:r>
          <m:rPr>
            <m:sty m:val="p"/>
          </m:rPr>
          <m:t>=</m:t>
        </m:r>
        <m:r>
          <m:t>6</m:t>
        </m:r>
      </m:oMath>
      <w:r>
        <w:t xml:space="preserve"> </w:t>
      </w:r>
      <w:r>
        <w:t xml:space="preserve">for interpretability (Results).</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93.5% of the 259 successfully analysed homepages contain at least one critical (failing) pair, and the median site has 19.9%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AA and AAA thresholds marked.</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256 of 259 sites).</w:t>
      </w:r>
    </w:p>
    <w:tbl>
      <w:tblPr>
        <w:tblStyle w:val="Table"/>
        <w:tblW w:type="auto" w:w="0"/>
        <w:jc w:val="center"/>
        <w:tblLook w:firstRow="1" w:lastRow="0" w:firstColumn="0" w:lastColumn="0" w:noHBand="0" w:noVBand="0" w:val="0020"/>
        <w:tblCaption w:val="Table 2. Descriptive statistics by country (16 countries with \geq5 sites; 256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26</w:t>
            </w:r>
          </w:p>
        </w:tc>
        <w:tc>
          <w:tcPr/>
          <w:p>
            <w:pPr>
              <w:pStyle w:val="Compact"/>
              <w:jc w:val="center"/>
            </w:pPr>
            <w:r>
              <w:rPr>
                <w:sz w:val="18"/>
              </w:rPr>
              <w:t xml:space="preserve">12.4</w:t>
            </w:r>
          </w:p>
        </w:tc>
        <w:tc>
          <w:tcPr/>
          <w:p>
            <w:pPr>
              <w:pStyle w:val="Compact"/>
              <w:jc w:val="center"/>
            </w:pPr>
            <w:r>
              <w:rPr>
                <w:sz w:val="18"/>
              </w:rPr>
              <w:t xml:space="preserve">92.3</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256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22.98</m:t>
        </m:r>
      </m:oMath>
      <w:r>
        <w:t xml:space="preserve">,</w:t>
      </w:r>
      <w:r>
        <w:t xml:space="preserve"> </w:t>
      </w:r>
      <m:oMath>
        <m:r>
          <m:t>d</m:t>
        </m:r>
        <m:r>
          <m:t>f</m:t>
        </m:r>
        <m:r>
          <m:rPr>
            <m:sty m:val="p"/>
          </m:rPr>
          <m:t>=</m:t>
        </m:r>
        <m:r>
          <m:t>15</m:t>
        </m:r>
      </m:oMath>
      <w:r>
        <w:t xml:space="preserve">,</w:t>
      </w:r>
      <w:r>
        <w:t xml:space="preserve"> </w:t>
      </w:r>
      <m:oMath>
        <m:r>
          <m:t>p</m:t>
        </m:r>
        <m:r>
          <m:rPr>
            <m:sty m:val="p"/>
          </m:rPr>
          <m:t>=</m:t>
        </m:r>
        <m:r>
          <m:t>0.085</m:t>
        </m:r>
      </m:oMath>
      <w:r>
        <w:t xml:space="preserve">) or on continuous %AA-failure (Kruskal-Wallis</w:t>
      </w:r>
      <w:r>
        <w:t xml:space="preserve"> </w:t>
      </w:r>
      <m:oMath>
        <m:r>
          <m:t>H</m:t>
        </m:r>
        <m:r>
          <m:rPr>
            <m:sty m:val="p"/>
          </m:rPr>
          <m:t>=</m:t>
        </m:r>
        <m:r>
          <m:t>21.53</m:t>
        </m:r>
      </m:oMath>
      <w:r>
        <w:t xml:space="preserve">,</w:t>
      </w:r>
      <w:r>
        <w:t xml:space="preserve"> </w:t>
      </w:r>
      <m:oMath>
        <m:r>
          <m:t>p</m:t>
        </m:r>
        <m:r>
          <m:rPr>
            <m:sty m:val="p"/>
          </m:rPr>
          <m:t>=</m:t>
        </m:r>
        <m:r>
          <m:t>0.121</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10</w:t>
      </w:r>
      <w:r>
        <w:t xml:space="preserve">,</w:t>
      </w:r>
      <w:r>
        <w:t xml:space="preserve">000-iteration Monte Carlo permutation test (shuffling critical-failure status across sites within the same country distribution and recomputing</w:t>
      </w:r>
      <w:r>
        <w:t xml:space="preserve"> </w:t>
      </w:r>
      <m:oMath>
        <m:sSup>
          <m:e>
            <m:r>
              <m:t>χ</m:t>
            </m:r>
          </m:e>
          <m:sup>
            <m:r>
              <m:t>2</m:t>
            </m:r>
          </m:sup>
        </m:sSup>
      </m:oMath>
      <w:r>
        <w:t xml:space="preserve"> </w:t>
      </w:r>
      <w:r>
        <w:t xml:space="preserve">each time), which agrees closely with the asymptotic result (</w:t>
      </w:r>
      <m:oMath>
        <m:r>
          <m:t>p</m:t>
        </m:r>
        <m:r>
          <m:rPr>
            <m:sty m:val="p"/>
          </m:rPr>
          <m:t>=</m:t>
        </m:r>
        <m:r>
          <m:t>0.081</m:t>
        </m:r>
      </m:oMath>
      <w:r>
        <w:t xml:space="preserve">), so this is not an artefact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w:t>
      </w:r>
      <w:r>
        <w:t xml:space="preserve"> </w:t>
      </w:r>
      <w:r>
        <w:t xml:space="preserve">“large text”</w:t>
      </w:r>
      <w:r>
        <w:t xml:space="preserve"> </w:t>
      </w:r>
      <w:r>
        <w:t xml:space="preserve">varies within a site (a single page mixes body and heading sizes) its effect would not be vulnerable to the same between-site clustering concern. This expectation does not survive a direct check: refitting the logistic regression with site-clustered sandwich standard errors (a generalised estimating equations specification, independence working correlation, clustered by site) rather than pooled naive ones leaves the large-text coefficient unchanged in size (</w:t>
      </w:r>
      <m:oMath>
        <m:r>
          <m:t>β</m:t>
        </m:r>
        <m:r>
          <m:rPr>
            <m:sty m:val="p"/>
          </m:rPr>
          <m:t>=</m:t>
        </m:r>
        <m:r>
          <m:rPr>
            <m:sty m:val="p"/>
          </m:rPr>
          <m:t>−</m:t>
        </m:r>
        <m:r>
          <m:t>0.10</m:t>
        </m:r>
      </m:oMath>
      <w:r>
        <w:t xml:space="preserve">) but no longer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so we do not treat it as a reliable finding. Raw font size in pixels fares better: it retains a significant, though far more modest,</w:t>
      </w:r>
      <w:r>
        <w:t xml:space="preserve"> </w:t>
      </w:r>
      <w:r>
        <w:rPr>
          <w:i/>
          <w:iCs/>
        </w:rPr>
        <w:t xml:space="preserve">positive</w:t>
      </w:r>
      <w:r>
        <w:t xml:space="preserve"> </w:t>
      </w:r>
      <w:r>
        <w:t xml:space="preserve">association with failure under the same clustered specification (</w:t>
      </w:r>
      <m:oMath>
        <m:r>
          <m:t>β</m:t>
        </m:r>
        <m:r>
          <m:rPr>
            <m:sty m:val="p"/>
          </m:rPr>
          <m:t>=</m:t>
        </m:r>
        <m:r>
          <m:rPr>
            <m:sty m:val="p"/>
          </m:rPr>
          <m:t>+</m:t>
        </m:r>
        <m:r>
          <m:t>0.0108</m:t>
        </m:r>
      </m:oMath>
      <w:r>
        <w:t xml:space="preserve">,</w:t>
      </w:r>
      <w:r>
        <w:t xml:space="preserve"> </w:t>
      </w:r>
      <m:oMath>
        <m:r>
          <m:t>p</m:t>
        </m:r>
        <m:r>
          <m:rPr>
            <m:sty m:val="p"/>
          </m:rPr>
          <m:t>=</m:t>
        </m:r>
        <m:r>
          <m:t>0.027</m:t>
        </m:r>
      </m:oMath>
      <w:r>
        <w:t xml:space="preserve">, versus</w:t>
      </w:r>
      <w:r>
        <w:t xml:space="preserve"> </w:t>
      </w:r>
      <m:oMath>
        <m:r>
          <m:t>p</m:t>
        </m:r>
        <m:r>
          <m:rPr>
            <m:sty m:val="p"/>
          </m:rPr>
          <m:t>&lt;</m:t>
        </m:r>
        <m:r>
          <m:t>0.001</m:t>
        </m:r>
      </m:oMath>
      <w:r>
        <w:t xml:space="preserve"> </w:t>
      </w:r>
      <w:r>
        <w:t xml:space="preserve">pooled). Of the two typography variables tested, only continuous font size in pixels survives cluster-adjusted inference, and only marginally; the categorical large-text effect does not.</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Note that Table 2 restricts descriptive statistics to the 16 countries with</w:t>
      </w:r>
      <w:r>
        <w:t xml:space="preserve"> </w:t>
      </w:r>
      <m:oMath>
        <m:r>
          <m:t>n</m:t>
        </m:r>
        <m:r>
          <m:rPr>
            <m:sty m:val="p"/>
          </m:rPr>
          <m:t>≥</m:t>
        </m:r>
        <m:r>
          <m:t>5</m:t>
        </m:r>
      </m:oMath>
      <w:r>
        <w:t xml:space="preserve"> </w:t>
      </w:r>
      <w:r>
        <w:t xml:space="preserve">sites (256 sites) for statistical robustness.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rather than measure it. We searched silhouette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rather than selecting</w:t>
      </w:r>
      <w:r>
        <w:t xml:space="preserve"> </w:t>
      </w:r>
      <m:oMath>
        <m:r>
          <m:t>k</m:t>
        </m:r>
      </m:oMath>
      <w:r>
        <w:t xml:space="preserve"> </w:t>
      </w:r>
      <w:r>
        <w:t xml:space="preserve">by silhouette maximisation: the score does not have a clear interior maximum over that range, so we fix</w:t>
      </w:r>
      <w:r>
        <w:t xml:space="preserve"> </w:t>
      </w:r>
      <m:oMath>
        <m:r>
          <m:t>k</m:t>
        </m:r>
        <m:r>
          <m:rPr>
            <m:sty m:val="p"/>
          </m:rPr>
          <m:t>=</m:t>
        </m:r>
        <m:r>
          <m:t>6</m:t>
        </m:r>
      </m:oMath>
      <w:r>
        <w:t xml:space="preserve"> </w:t>
      </w:r>
      <w:r>
        <w:t xml:space="preserve">for interpretability. The resulting partition separates the low-chroma pairs into two clusters at different lightness levels rather than merging them: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and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together 80.0% of all failing pairs, with four markedly smaller chromatic clusters (4.1% to 6.1% of pairs each, chroma 41.6–78.4) spanning red, blue, yellow-green, and green regions of the plane (Figure 3). The near-white cluster’s lightness (</w:t>
      </w:r>
      <m:oMath>
        <m:sSup>
          <m:e>
            <m:r>
              <m:t>L</m:t>
            </m:r>
          </m:e>
          <m:sup>
            <m:r>
              <m:rPr>
                <m:sty m:val="p"/>
              </m:rPr>
              <m:t>*</m:t>
            </m:r>
          </m:sup>
        </m:sSup>
        <m:r>
          <m:rPr>
            <m:sty m:val="p"/>
          </m:rPr>
          <m:t>=</m:t>
        </m:r>
        <m:r>
          <m:t>99.5</m:t>
        </m:r>
      </m:oMath>
      <w:r>
        <w:t xml:space="preserve">, indistinguishable from pure white) is consistent with the background-image detection artefact discussed in Limitations: at least part of this cluster is likely mislabelled text-over-image rather than genuinely near-white text. Agreement between our contrast-ratio-based failure count and</w:t>
      </w:r>
      <w:r>
        <w:t xml:space="preserve"> </w:t>
      </w:r>
      <w:r>
        <w:rPr>
          <w:rStyle w:val="VerbatimChar"/>
        </w:rPr>
        <w:t xml:space="preserve">axe-core</w:t>
      </w:r>
      <w:r>
        <w:t xml:space="preserve">’s independent colour-contrast violation count is positive but moderate (</w:t>
      </w:r>
      <m:oMath>
        <m:r>
          <m:t>r</m:t>
        </m:r>
        <m:r>
          <m:rPr>
            <m:sty m:val="p"/>
          </m:rPr>
          <m:t>=</m:t>
        </m:r>
        <m:r>
          <m:t>0.347</m:t>
        </m:r>
      </m:oMath>
      <w:r>
        <w:t xml:space="preserve"> </w:t>
      </w:r>
      <w:r>
        <w:t xml:space="preserve">across sites), which is expected given the two tools differ in which elements they consider evaluable (axe-core additionally skips certain non-text and gradient cases that our extraction still captures).</w:t>
      </w:r>
    </w:p>
    <w:bookmarkStart w:id="30" w:name="tab:top-pairs"/>
    <w:p>
      <w:pPr>
        <w:pStyle w:val="TableCaption"/>
      </w:pPr>
      <w:r>
        <w:t xml:space="preserve">Table 3. The 10 most frequent failing colour pairs, with median WCAG contrast ratio and median CIELAB</w:t>
      </w:r>
      <w:r>
        <w:t xml:space="preserve"> </w:t>
      </w:r>
      <m:oMath>
        <m:r>
          <m:rPr>
            <m:sty m:val="p"/>
          </m:rPr>
          <m:t>Δ</m:t>
        </m:r>
        <m:r>
          <m:t>E</m:t>
        </m:r>
      </m:oMath>
      <w:r>
        <w:t xml:space="preserve"> </w:t>
      </w:r>
      <w:r>
        <w:t xml:space="preserve">(CIE76).</w:t>
      </w:r>
      <w:r>
        <w:t xml:space="preserve"> </w:t>
      </w:r>
      <m:oMath>
        <m:r>
          <m:rPr>
            <m:sty m:val="p"/>
          </m:rPr>
          <m:t>Δ</m:t>
        </m:r>
        <m:r>
          <m:t>E</m:t>
        </m:r>
      </m:oMath>
      <w:r>
        <w:t xml:space="preserve"> </w:t>
      </w:r>
      <w:r>
        <w:t xml:space="preserve">is evaluated using Euclidean distance in CIELAB space (CIE76), which provides an intuitive, geometrically transparent distance metric directly aligned with the</w:t>
      </w:r>
      <w:r>
        <w:t xml:space="preserve"> </w:t>
      </w:r>
      <m:oMath>
        <m:r>
          <m:t>k</m:t>
        </m:r>
      </m:oMath>
      <w:r>
        <w:t xml:space="preserve">-means feature space, whereas CIEDE2000 incorporates complex perceptual weighting factors unnecessary for standard Euclidean clustering.</w:t>
      </w:r>
    </w:p>
    <w:tbl>
      <w:tblPr>
        <w:tblStyle w:val="Table"/>
        <w:tblW w:type="auto" w:w="0"/>
        <w:jc w:val="center"/>
        <w:tblLook w:firstRow="1" w:lastRow="0" w:firstColumn="0" w:lastColumn="0" w:noHBand="0" w:noVBand="0" w:val="0020"/>
        <w:tblCaption w:val="Table 3. The 10 most frequent failing colour pairs, with median WCAG contrast ratio and median CIELAB \Delta E (CIE76). \Delta E is evaluated using Euclidean distance in CIELAB space (CIE76), which provides an intuitive, geometrically transparent distance metric directly aligned with the k-means feature space, whereas CIEDE2000 incorporates complex perceptual weighting factors unnecessary for standard Euclidean clustering."/>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 (median)</w:t>
            </w:r>
          </w:p>
        </w:tc>
        <w:tc>
          <w:tcPr>
            <w:tcBorders>
              <w:top w:val="single" w:sz="12" w:space="0" w:color="000000"/>
              <w:bottom w:val="single" w:sz="6" w:space="0" w:color="000000"/>
            </w:tcBorders>
          </w:tcPr>
          <w:p>
            <w:pPr>
              <w:pStyle w:val="Compact"/>
              <w:jc w:val="center"/>
            </w:pPr>
            <m:oMath>
              <m:r>
                <m:rPr>
                  <m:sty m:val="p"/>
                </m:rPr>
                <m:t>Δ</m:t>
              </m:r>
              <m:r>
                <m:t>E</m:t>
              </m:r>
            </m:oMath>
            <w:r>
              <w:rPr>
                <w:sz w:val="18"/>
              </w:rPr>
              <w:t xml:space="preserve"> </w:t>
            </w:r>
            <w:r>
              <w:rPr>
                <w:sz w:val="18"/>
              </w:rPr>
              <w:t xml:space="preserve">(median)</w:t>
            </w:r>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failures, but only the first is a literal invisible-text pattern; the practical implication (this is the single largest identifiable failure signature in the dataset) holds either way.</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text-colour coordinates projected onto the CIELAB</w:t>
      </w:r>
      <w:r>
        <w:t xml:space="preserve"> </w:t>
      </w:r>
      <m:oMath>
        <m:sSup>
          <m:e>
            <m:r>
              <m:t>a</m:t>
            </m:r>
          </m:e>
          <m:sup>
            <m:r>
              <m:rPr>
                <m:sty m:val="p"/>
              </m:rPr>
              <m:t>*</m:t>
            </m:r>
          </m:sup>
        </m:sSup>
        <m:sSup>
          <m:e>
            <m:r>
              <m:t>b</m:t>
            </m:r>
          </m:e>
          <m:sup>
            <m:r>
              <m:rPr>
                <m:sty m:val="p"/>
              </m:rPr>
              <m:t>*</m:t>
            </m:r>
          </m:sup>
        </m:sSup>
      </m:oMath>
      <w:r>
        <w:t xml:space="preserve"> </w:t>
      </w:r>
      <w:r>
        <w:t xml:space="preserve">plane, coloured by</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point size encodes</w:t>
      </w:r>
      <w:r>
        <w:t xml:space="preserve"> </w:t>
      </w:r>
      <m:oMath>
        <m:sSup>
          <m:e>
            <m:r>
              <m:t>L</m:t>
            </m:r>
          </m:e>
          <m:sup>
            <m:r>
              <m:rPr>
                <m:sty m:val="p"/>
              </m:rPr>
              <m:t>*</m:t>
            </m:r>
          </m:sup>
        </m:sSup>
      </m:oMath>
      <w:r>
        <w:t xml:space="preserve"> </w:t>
      </w:r>
      <w:r>
        <w:t xml:space="preserve">(lightness).</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the low-chroma part of that hypothesis directly: near-neutral clusters consistent with the</w:t>
      </w:r>
      <w:r>
        <w:t xml:space="preserve"> </w:t>
      </w:r>
      <w:r>
        <w:t xml:space="preserve">“light grey on white”</w:t>
      </w:r>
      <w:r>
        <w:t xml:space="preserve"> </w:t>
      </w:r>
      <w:r>
        <w:t xml:space="preserve">pattern account for 80.0% of failing pairs, split by our full-</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clustering into a near-white cluster (</w:t>
      </w:r>
      <m:oMath>
        <m:sSup>
          <m:e>
            <m:r>
              <m:t>L</m:t>
            </m:r>
          </m:e>
          <m:sup>
            <m:r>
              <m:rPr>
                <m:sty m:val="p"/>
              </m:rPr>
              <m:t>*</m:t>
            </m:r>
          </m:sup>
        </m:sSup>
        <m:r>
          <m:rPr>
            <m:sty m:val="p"/>
          </m:rPr>
          <m:t>=</m:t>
        </m:r>
        <m:r>
          <m:t>99.5</m:t>
        </m:r>
      </m:oMath>
      <w:r>
        <w:t xml:space="preserve">, 60.1%) and a mid-grey cluster (</w:t>
      </w:r>
      <m:oMath>
        <m:sSup>
          <m:e>
            <m:r>
              <m:t>L</m:t>
            </m:r>
          </m:e>
          <m:sup>
            <m:r>
              <m:rPr>
                <m:sty m:val="p"/>
              </m:rPr>
              <m:t>*</m:t>
            </m:r>
          </m:sup>
        </m:sSup>
        <m:r>
          <m:rPr>
            <m:sty m:val="p"/>
          </m:rPr>
          <m:t>=</m:t>
        </m:r>
        <m:r>
          <m:t>51.7</m:t>
        </m:r>
      </m:oMath>
      <w:r>
        <w:t xml:space="preserve">,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mid-grey cluster is not subject to that concern, since</w:t>
      </w:r>
      <w:r>
        <w:t xml:space="preserve"> </w:t>
      </w:r>
      <m:oMath>
        <m:sSup>
          <m:e>
            <m:r>
              <m:t>L</m:t>
            </m:r>
          </m:e>
          <m:sup>
            <m:r>
              <m:rPr>
                <m:sty m:val="p"/>
              </m:rPr>
              <m:t>*</m:t>
            </m:r>
          </m:sup>
        </m:sSup>
        <m:r>
          <m:rPr>
            <m:sty m:val="p"/>
          </m:rPr>
          <m:t>=</m:t>
        </m:r>
        <m:r>
          <m:t>51.7</m:t>
        </m:r>
      </m:oMath>
      <w:r>
        <w:t xml:space="preserve"> </w:t>
      </w:r>
      <w:r>
        <w:t xml:space="preserve">is far from the near-white artefact region. Even allowing for that overlap in the near-white cluster, the remaining chromatic clusters, saturated brand colours used directly as text colour, are each individually small (4.1% to 6.1% of pairs), so the practical intervention implied by our results is closer to the field’s existing assumption than we initially expected: a style-guide fix targeting low-contrast neutral and grey text would address the large majority of observed failures, with saturated brand-colour misuse a secondary, smaller pattern.</w:t>
      </w:r>
    </w:p>
    <w:p>
      <w:pPr>
        <w:pStyle w:val="BodyText"/>
      </w:pPr>
      <w:r>
        <w:t xml:space="preserve">For the institutions themselves, a style guide targeting low-contrast neutral (grey-on-white) text would directly address the large majority of the failures we observe. The smaller chromatic clusters are still worth a secondary mention: a plausible, though untested, explanation for that residual is institutional brand palettes (a university’s primary colour used directly as a text colour, regardless of what it sits on) rather than a single stylistic trend (Figure 4 shows four representative examples).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219526"/>
            <wp:effectExtent b="0" l="0" r="0" t="0"/>
            <wp:docPr descr="" title="" id="37" name="Picture"/>
            <a:graphic>
              <a:graphicData uri="http://schemas.openxmlformats.org/drawingml/2006/picture">
                <pic:pic>
                  <pic:nvPicPr>
                    <pic:cNvPr descr="figures/fig4_capturas_ejemplo.png" id="38" name="Picture"/>
                    <pic:cNvPicPr>
                      <a:picLocks noChangeArrowheads="1" noChangeAspect="1"/>
                    </pic:cNvPicPr>
                  </pic:nvPicPr>
                  <pic:blipFill>
                    <a:blip r:embed="rId36"/>
                    <a:stretch>
                      <a:fillRect/>
                    </a:stretch>
                  </pic:blipFill>
                  <pic:spPr bwMode="auto">
                    <a:xfrm>
                      <a:off x="0" y="0"/>
                      <a:ext cx="4533900" cy="3219526"/>
                    </a:xfrm>
                    <a:prstGeom prst="rect">
                      <a:avLst/>
                    </a:prstGeom>
                    <a:noFill/>
                    <a:ln w="9525">
                      <a:noFill/>
                      <a:headEnd/>
                      <a:tailEnd/>
                    </a:ln>
                  </pic:spPr>
                </pic:pic>
              </a:graphicData>
            </a:graphic>
          </wp:inline>
        </w:drawing>
      </w:r>
    </w:p>
    <w:p>
      <w:pPr>
        <w:pStyle w:val="ImageCaption"/>
      </w:pPr>
      <w:r>
        <w:t xml:space="preserve">Figure 4. Homepages among the highest AA-failure rates in the sample, illustrating the brand-palette pattern described above: saturated institutional colours used directly as text or overlay colour rather than as accents. Captures show only public institutional cover content, not personal data.</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Third, the crawl captures a single point in time (August 2026); institutional websites are redesigned periodically, so these figures are not stable indefinitely. Fourth, the source domain list had no entries for Bolivia or Venezuela, so the 17-country sample does not cover every country in the region.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(256 sites,</w:t>
      </w:r>
      <w:r>
        <w:t xml:space="preserve"> </w:t>
      </w:r>
      <m:oMath>
        <m:r>
          <m:t>p</m:t>
        </m:r>
        <m:r>
          <m:rPr>
            <m:sty m:val="p"/>
          </m:rPr>
          <m:t>=</m:t>
        </m:r>
        <m:r>
          <m:t>0.085</m:t>
        </m:r>
      </m:oMath>
      <w:r>
        <w:t xml:space="preserve">)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93.5% to 90.7% (only 7 of 259 sites, 2.7%, have white-on-white as their</w:t>
      </w:r>
      <w:r>
        <w:t xml:space="preserve"> </w:t>
      </w:r>
      <w:r>
        <w:rPr>
          <w:i/>
          <w:iCs/>
        </w:rPr>
        <w:t xml:space="preserve">only</w:t>
      </w:r>
      <w:r>
        <w:t xml:space="preserve"> </w:t>
      </w:r>
      <w:r>
        <w:t xml:space="preserve">recorded failure). Since at least some of these 2</w:t>
      </w:r>
      <w:r>
        <w:t xml:space="preserve">,</w:t>
      </w:r>
      <w:r>
        <w:t xml:space="preserve">379 pairs are surely genuine invisible-text bugs rather than background-image artefacts, this exclusion is an upper bound on the artefact’s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genuine methodological differences between contrast-ratio counting and axe-core’s rule engine rather than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the norm rather than the exception (93.5%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colours involved in these failures are consistent with our initial hypothesis: unsupervised clustering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shows that near-neutral, low-chroma</w:t>
      </w:r>
      <w:r>
        <w:t xml:space="preserve"> </w:t>
      </w:r>
      <w:r>
        <w:t xml:space="preserve">“light grey on white”</w:t>
      </w:r>
      <w:r>
        <w:t xml:space="preserve"> </w:t>
      </w:r>
      <w:r>
        <w:t xml:space="preserve">patterns account for 80.0% of failing pairs, with four smaller chromatic clusters making up the remainder. This suggests that accessibility guidance for this region can prioritise the low-contrast neutral-text pattern as the primary target, while treating brand-palette contrast checking as a secondary recommendation for the smaller residual of saturated-colour failures.</w:t>
      </w:r>
    </w:p>
    <w:bookmarkEnd w:id="42"/>
    <w:bookmarkStart w:id="43" w:name="data-availability"/>
    <w:p>
      <w:pPr>
        <w:pStyle w:val="Heading1"/>
      </w:pPr>
      <w:r>
        <w:t xml:space="preserve">Data Availability</w:t>
      </w:r>
    </w:p>
    <w:p>
      <w:pPr>
        <w:pStyle w:val="FirstParagraph"/>
      </w:pPr>
      <w:r>
        <w:t xml:space="preserve">The domain list, crawl logs, extracted color pairs, and analysis code are permanently archived in a public repository with a persistent DOI. The identifier and repository URL are withheld during double-blind review and will be added upon acceptance.</w:t>
      </w:r>
    </w:p>
    <w:bookmarkEnd w:id="43"/>
    <w:bookmarkStart w:id="44" w:name="funding"/>
    <w:p>
      <w:pPr>
        <w:pStyle w:val="Heading1"/>
      </w:pPr>
      <w:r>
        <w:t xml:space="preserve">Funding</w:t>
      </w:r>
    </w:p>
    <w:p>
      <w:pPr>
        <w:pStyle w:val="FirstParagraph"/>
      </w:pPr>
      <w:r>
        <w:t xml:space="preserve">This research received no external funding.</w:t>
      </w:r>
    </w:p>
    <w:bookmarkEnd w:id="44"/>
    <w:bookmarkStart w:id="45" w:name="conflict-of-interest"/>
    <w:p>
      <w:pPr>
        <w:pStyle w:val="Heading1"/>
      </w:pPr>
      <w:r>
        <w:t xml:space="preserve">Conflict of Interest</w:t>
      </w:r>
    </w:p>
    <w:p>
      <w:pPr>
        <w:pStyle w:val="FirstParagraph"/>
      </w:pPr>
      <w:r>
        <w:t xml:space="preserve">The authors declare that they have no conflict of interest.</w:t>
      </w:r>
    </w:p>
    <w:bookmarkEnd w:id="45"/>
    <w:bookmarkStart w:id="46" w:name="use-of-generative-ai"/>
    <w:p>
      <w:pPr>
        <w:pStyle w:val="Heading1"/>
      </w:pPr>
      <w:r>
        <w:t xml:space="preserve">Use of Generative AI</w:t>
      </w:r>
    </w:p>
    <w:p>
      <w:pPr>
        <w:pStyle w:val="FirstParagraph"/>
      </w:pPr>
      <w:r>
        <w:t xml:space="preserve">During the preparation of this manuscript, the authors used large language models exclusively for language refinement, grammatical editing, and LaTeX formatting. All research hypotheses, experimental design, crawling pipelines, statistical computations, and scientific interpretations were conceived, conducted, and validated entirely by the authors.</w:t>
      </w:r>
    </w:p>
    <w:bookmarkEnd w:id="46"/>
    <w:bookmarkStart w:id="47" w:name="author-contributions"/>
    <w:p>
      <w:pPr>
        <w:pStyle w:val="Heading1"/>
      </w:pPr>
      <w:r>
        <w:t xml:space="preserve">Author Contributions</w:t>
      </w:r>
    </w:p>
    <w:p>
      <w:pPr>
        <w:pStyle w:val="FirstParagraph"/>
      </w:pPr>
      <w:r>
        <w:rPr>
          <w:i/>
          <w:iCs/>
        </w:rPr>
        <w:t xml:space="preserve">Author contribution statements omitted for double-blind peer review.</w:t>
      </w:r>
    </w:p>
    <w:bookmarkEnd w:id="47"/>
    <w:bookmarkStart w:id="62" w:name="references"/>
    <w:p>
      <w:pPr>
        <w:pStyle w:val="Heading1"/>
      </w:pPr>
      <w:r>
        <w:t xml:space="preserve">References</w:t>
      </w:r>
    </w:p>
    <w:p>
      <w:pPr>
        <w:pStyle w:val="FirstParagraph"/>
        <w:jc w:val="left"/>
      </w:pPr>
      <w:r>
        <w:t xml:space="preserve">Acosta-Vargas, P., Acosta, T. and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48">
        <w:r>
          <w:rPr>
            <w:rStyle w:val="Hyperlink"/>
          </w:rPr>
          <w:t xml:space="preserve">https://doi.org/10.1109/ACCESS.2018.2848978</w:t>
        </w:r>
      </w:hyperlink>
      <w:r>
        <w:t xml:space="preserve">.</w:t>
      </w:r>
    </w:p>
    <w:p>
      <w:pPr>
        <w:pStyle w:val="BodyText"/>
        <w:jc w:val="left"/>
      </w:pPr>
      <w:r>
        <w:t xml:space="preserve">Acosta-Vargas, P., González, M. and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49">
        <w:r>
          <w:rPr>
            <w:rStyle w:val="Hyperlink"/>
          </w:rPr>
          <w:t xml:space="preserve">https://doi.org/10.1016/j.dib.2019.105013</w:t>
        </w:r>
      </w:hyperlink>
      <w:r>
        <w:t xml:space="preserve">.</w:t>
      </w:r>
    </w:p>
    <w:p>
      <w:pPr>
        <w:pStyle w:val="BodyText"/>
        <w:jc w:val="left"/>
      </w:pPr>
      <w:r>
        <w:t xml:space="preserve">Acosta-Vargas, P., Salvador-Acosta, B., Salvador-Ullauri, L. and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0">
        <w:r>
          <w:rPr>
            <w:rStyle w:val="Hyperlink"/>
          </w:rPr>
          <w:t xml:space="preserve">https://doi.org/10.7717/peerj-cs.891</w:t>
        </w:r>
      </w:hyperlink>
      <w:r>
        <w:t xml:space="preserve">.</w:t>
      </w:r>
    </w:p>
    <w:p>
      <w:pPr>
        <w:pStyle w:val="BodyText"/>
        <w:jc w:val="left"/>
      </w:pPr>
      <w:r>
        <w:t xml:space="preserve">Acosta-Vargas, P., Salvador-Ullauri, A. and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1">
        <w:r>
          <w:rPr>
            <w:rStyle w:val="Hyperlink"/>
          </w:rPr>
          <w:t xml:space="preserve">https://doi.org/10.1109/ACCESS.2019.2939068</w:t>
        </w:r>
      </w:hyperlink>
      <w:r>
        <w:t xml:space="preserve">.</w:t>
      </w:r>
    </w:p>
    <w:p>
      <w:pPr>
        <w:pStyle w:val="BodyText"/>
        <w:jc w:val="left"/>
      </w:pPr>
      <w:r>
        <w:t xml:space="preserve">Acosta-Vargas, P., Zarate-Estrella, I., Salvador-Ullauri, L., Jad</w:t>
      </w:r>
      <w:r>
        <w:t xml:space="preserve">á</w:t>
      </w:r>
      <w:r>
        <w:t xml:space="preserve">n-Guerrero, J., Guevara, C. and Lara-Alvarez, P.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2">
        <w:r>
          <w:rPr>
            <w:rStyle w:val="Hyperlink"/>
          </w:rPr>
          <w:t xml:space="preserve">https://doi.org/10.3390/su132011237</w:t>
        </w:r>
      </w:hyperlink>
      <w:r>
        <w:t xml:space="preserve">.</w:t>
      </w:r>
    </w:p>
    <w:p>
      <w:pPr>
        <w:pStyle w:val="BodyText"/>
        <w:jc w:val="left"/>
      </w:pPr>
      <w:r>
        <w:t xml:space="preserve">Henry, S. L., Abou-Zahra, S. and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w:t>
      </w:r>
      <w:r>
        <w:t xml:space="preserve"> </w:t>
      </w:r>
      <w:hyperlink r:id="rId53">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(1976),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w:t>
      </w:r>
      <w:r>
        <w:br/>
      </w:r>
      <w:hyperlink r:id="rId54">
        <w:r>
          <w:rPr>
            <w:rStyle w:val="Hyperlink"/>
          </w:rPr>
          <w:t xml:space="preserve">https://cie.co.at/publications/colorimetry-part-4-cie-1976-lab-colour-space-0</w:t>
        </w:r>
      </w:hyperlink>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5">
        <w:r>
          <w:rPr>
            <w:rStyle w:val="Hyperlink"/>
          </w:rPr>
          <w:t xml:space="preserve">https://doi.org/10.24867/JGED-2024-4-045</w:t>
        </w:r>
      </w:hyperlink>
      <w:r>
        <w:t xml:space="preserve">.</w:t>
      </w:r>
    </w:p>
    <w:p>
      <w:pPr>
        <w:pStyle w:val="BodyText"/>
        <w:jc w:val="left"/>
      </w:pPr>
      <w:r>
        <w:t xml:space="preserve">Punsongserm, R. and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w:t>
      </w:r>
      <w:r>
        <w:t xml:space="preserve"> </w:t>
      </w:r>
      <w:hyperlink r:id="rId56">
        <w:r>
          <w:rPr>
            <w:rStyle w:val="Hyperlink"/>
          </w:rPr>
          <w:t xml:space="preserve">https://doi.org/10.24867/JGED-2025-1-017</w:t>
        </w:r>
      </w:hyperlink>
      <w:r>
        <w:t xml:space="preserve">.</w:t>
      </w:r>
    </w:p>
    <w:p>
      <w:pPr>
        <w:pStyle w:val="BodyText"/>
        <w:jc w:val="left"/>
      </w:pPr>
      <w:r>
        <w:t xml:space="preserve">Rello, L. and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7">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and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58">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59">
        <w:r>
          <w:rPr>
            <w:rStyle w:val="Hyperlink"/>
          </w:rPr>
          <w:t xml:space="preserve">https://webaim.org/projects/million/</w:t>
        </w:r>
      </w:hyperlink>
    </w:p>
    <w:p>
      <w:pPr>
        <w:pStyle w:val="BodyText"/>
        <w:jc w:val="left"/>
      </w:pPr>
      <w:r>
        <w:t xml:space="preserve">Weingerl, P., Nedeljković, U. and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0">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Available:</w:t>
      </w:r>
      <w:r>
        <w:t xml:space="preserve"> </w:t>
      </w:r>
      <w:hyperlink r:id="rId61">
        <w:r>
          <w:rPr>
            <w:rStyle w:val="Hyperlink"/>
          </w:rPr>
          <w:t xml:space="preserve">https://www.w3.org/TR/WCAG22/</w:t>
        </w:r>
      </w:hyperlink>
      <w:r>
        <w:t xml:space="preserve">.</w:t>
      </w:r>
    </w:p>
    <w:bookmarkEnd w:id="62"/>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7"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8" Type="http://schemas.openxmlformats.org/officeDocument/2006/relationships/hyperlink" Target="https://doi.org/10.24867/JGED-2021-2-029" TargetMode="External"/><Relationship Id="rId60" Type="http://schemas.openxmlformats.org/officeDocument/2006/relationships/hyperlink" Target="https://doi.org/10.24867/JGED-2022-3-051" TargetMode="External"/><Relationship Id="rId55" Type="http://schemas.openxmlformats.org/officeDocument/2006/relationships/hyperlink" Target="https://doi.org/10.24867/JGED-2024-4-045" TargetMode="External"/><Relationship Id="rId56" Type="http://schemas.openxmlformats.org/officeDocument/2006/relationships/hyperlink" Target="https://doi.org/10.24867/JGED-2025-1-017"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59" Type="http://schemas.openxmlformats.org/officeDocument/2006/relationships/hyperlink" Target="https://webaim.org/projects/million/" TargetMode="External"/><Relationship Id="rId61"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7"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8" Type="http://schemas.openxmlformats.org/officeDocument/2006/relationships/hyperlink" Target="https://doi.org/10.24867/JGED-2021-2-029" TargetMode="External"/><Relationship Id="rId60" Type="http://schemas.openxmlformats.org/officeDocument/2006/relationships/hyperlink" Target="https://doi.org/10.24867/JGED-2022-3-051" TargetMode="External"/><Relationship Id="rId55" Type="http://schemas.openxmlformats.org/officeDocument/2006/relationships/hyperlink" Target="https://doi.org/10.24867/JGED-2024-4-045" TargetMode="External"/><Relationship Id="rId56" Type="http://schemas.openxmlformats.org/officeDocument/2006/relationships/hyperlink" Target="https://doi.org/10.24867/JGED-2025-1-017"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59" Type="http://schemas.openxmlformats.org/officeDocument/2006/relationships/hyperlink" Target="https://webaim.org/projects/million/" TargetMode="External"/><Relationship Id="rId61"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2026-10-16T17:59:37Z</dcterms:created>
  <dcterms:modified xsi:type="dcterms:W3CDTF">2026-10-16T17:59:37Z</dcterms:modified>
</cp:coreProperties>
</file>

<file path=docProps/custom.xml><?xml version="1.0" encoding="utf-8"?>
<Properties xmlns="http://schemas.openxmlformats.org/officeDocument/2006/custom-properties" xmlns:vt="http://schemas.openxmlformats.org/officeDocument/2006/docPropsVTypes"/>
</file>