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Latin American higher education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Nedeljković &amp; Pušnik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Ofosu-Asare (2024) examined usability and design evaluation techniques for online learning environments, noting that accessibility in educational digital products is usually assessed qualitatively or on small samples rather than through a large-scale automated survey, which is the gap this paper addresses directly for the chromatic dimension. Within this journal, colour reproduction has mostly been studied on the print side, including how ink drying systems shape the final printed result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30 Latin American university websites,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1976)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0.086</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median WCAG contrast ratio, and the number of occurrences; the specimen text is illustrative and no institution is identified. Grey-on-white pairs (left column, top and bottom) and saturated colours used directly as text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(93.4%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specific grant from any funding agency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4"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&amp;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(1976),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w:t>
      </w:r>
      <w:r>
        <w:br/>
      </w:r>
      <w:hyperlink r:id="rId56">
        <w:r>
          <w:rPr>
            <w:rStyle w:val="Hyperlink"/>
          </w:rPr>
          <w:t xml:space="preserve">https://cie.co.at/publications/colorimetry-part-4-cie-1976-lab-colour-space-0</w:t>
        </w:r>
      </w:hyperlink>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7">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8">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9">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0">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1">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2">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3">
        <w:r>
          <w:rPr>
            <w:rStyle w:val="Hyperlink"/>
          </w:rPr>
          <w:t xml:space="preserve">https://www.w3.org/TR/WCAG22/</w:t>
        </w:r>
      </w:hyperlink>
      <w:r>
        <w:t xml:space="preserve">.</w:t>
      </w:r>
    </w:p>
    <w:bookmarkEnd w:id="64"/>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59"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0" Type="http://schemas.openxmlformats.org/officeDocument/2006/relationships/hyperlink" Target="https://doi.org/10.24867/JGED-2021-2-029" TargetMode="External"/><Relationship Id="rId62" Type="http://schemas.openxmlformats.org/officeDocument/2006/relationships/hyperlink" Target="https://doi.org/10.24867/JGED-2022-3-051" TargetMode="External"/><Relationship Id="rId57" Type="http://schemas.openxmlformats.org/officeDocument/2006/relationships/hyperlink" Target="https://doi.org/10.24867/JGED-2024-4-045" TargetMode="External"/><Relationship Id="rId58" Type="http://schemas.openxmlformats.org/officeDocument/2006/relationships/hyperlink" Target="https://doi.org/10.24867/JGED-2025-1-017"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1" Type="http://schemas.openxmlformats.org/officeDocument/2006/relationships/hyperlink" Target="https://webaim.org/projects/million/" TargetMode="External"/><Relationship Id="rId63"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59"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0" Type="http://schemas.openxmlformats.org/officeDocument/2006/relationships/hyperlink" Target="https://doi.org/10.24867/JGED-2021-2-029" TargetMode="External"/><Relationship Id="rId62" Type="http://schemas.openxmlformats.org/officeDocument/2006/relationships/hyperlink" Target="https://doi.org/10.24867/JGED-2022-3-051" TargetMode="External"/><Relationship Id="rId57" Type="http://schemas.openxmlformats.org/officeDocument/2006/relationships/hyperlink" Target="https://doi.org/10.24867/JGED-2024-4-045" TargetMode="External"/><Relationship Id="rId58" Type="http://schemas.openxmlformats.org/officeDocument/2006/relationships/hyperlink" Target="https://doi.org/10.24867/JGED-2025-1-017"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1" Type="http://schemas.openxmlformats.org/officeDocument/2006/relationships/hyperlink" Target="https://webaim.org/projects/million/" TargetMode="External"/><Relationship Id="rId63"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2026-10-16T19:38:25Z</dcterms:created>
  <dcterms:modified xsi:type="dcterms:W3CDTF">2026-10-16T19:38:25Z</dcterms:modified>
</cp:coreProperties>
</file>

<file path=docProps/custom.xml><?xml version="1.0" encoding="utf-8"?>
<Properties xmlns="http://schemas.openxmlformats.org/officeDocument/2006/custom-properties" xmlns:vt="http://schemas.openxmlformats.org/officeDocument/2006/docPropsVTypes"/>
</file>