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Visualization,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specific grant from any funding agency in the public, commercial, or not-for-profit sectors.</w:t>
      </w:r>
    </w:p>
    <w:p>
      <w:pPr>
        <w:numPr>
          <w:ilvl w:val="0"/>
          <w:numId w:val="1002"/>
        </w:numPr>
      </w:pPr>
      <w:r>
        <w:rPr>
          <w:b/>
          <w:bCs/>
        </w:rPr>
        <w:t xml:space="preserve">Use of Generative AI:</w:t>
      </w:r>
      <w:r>
        <w:t xml:space="preserve"> </w:t>
      </w: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2026-10-16T19:38:48Z</dcterms:created>
  <dcterms:modified xsi:type="dcterms:W3CDTF">2026-10-16T19:38:48Z</dcterms:modified>
</cp:coreProperties>
</file>

<file path=docProps/custom.xml><?xml version="1.0" encoding="utf-8"?>
<Properties xmlns="http://schemas.openxmlformats.org/officeDocument/2006/custom-properties" xmlns:vt="http://schemas.openxmlformats.org/officeDocument/2006/docPropsVTypes"/>
</file>