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partly to a design choice rather than a solved problem: removing the four features most associated with how the legitimate class was constructed (</w:t>
      </w:r>
      <w:r>
        <w:rPr>
          <w:rFonts w:ascii="Courier New" w:cs="Courier New" w:eastAsia="Courier New" w:hAnsi="Courier New"/>
          <w:i w:val="false"/>
          <w:iCs w:val="false"/>
          <w:sz w:val="22"/>
          <w:szCs w:val="22"/>
        </w:rPr>
        <w:t xml:space="preserve">is_https</w:t>
      </w:r>
      <w:r>
        <w:rPr>
          <w:i w:val="false"/>
          <w:iCs w:val="false"/>
          <w:sz w:val="22"/>
          <w:szCs w:val="22"/>
        </w:rPr>
        <w:t xml:space="preserve">, </w:t>
      </w:r>
      <w:r>
        <w:rPr>
          <w:rFonts w:ascii="Courier New" w:cs="Courier New" w:eastAsia="Courier New" w:hAnsi="Courier New"/>
          <w:i w:val="false"/>
          <w:iCs w:val="false"/>
          <w:sz w:val="22"/>
          <w:szCs w:val="22"/>
        </w:rPr>
        <w:t xml:space="preserve">path_length</w:t>
      </w:r>
      <w:r>
        <w:rPr>
          <w:i w:val="false"/>
          <w:iCs w:val="false"/>
          <w:sz w:val="22"/>
          <w:szCs w:val="22"/>
        </w:rPr>
        <w:t xml:space="preserve">, </w:t>
      </w:r>
      <w:r>
        <w:rPr>
          <w:rFonts w:ascii="Courier New" w:cs="Courier New" w:eastAsia="Courier New" w:hAnsi="Courier New"/>
          <w:i w:val="false"/>
          <w:iCs w:val="false"/>
          <w:sz w:val="22"/>
          <w:szCs w:val="22"/>
        </w:rPr>
        <w:t xml:space="preserve">num_slashes</w:t>
      </w:r>
      <w:r>
        <w:rPr>
          <w:i w:val="false"/>
          <w:iCs w:val="false"/>
          <w:sz w:val="22"/>
          <w:szCs w:val="22"/>
        </w:rPr>
        <w:t xml:space="preserve">, </w:t>
      </w:r>
      <w:r>
        <w:rPr>
          <w:rFonts w:ascii="Courier New" w:cs="Courier New" w:eastAsia="Courier New" w:hAnsi="Courier New"/>
          <w:i w:val="false"/>
          <w:iCs w:val="false"/>
          <w:sz w:val="22"/>
          <w:szCs w:val="22"/>
        </w:rPr>
        <w:t xml:space="preserve">url_length</w:t>
      </w:r>
      <w:r>
        <w:rPr>
          <w:i w:val="false"/>
          <w:iCs w:val="false"/>
          <w:sz w:val="22"/>
          <w:szCs w:val="22"/>
        </w:rPr>
        <w:t xml:space="preserve">) drops F1 by 3.3 to 4.1 percentage points across models, confirming that the choice of negative class (well-established top-ranked domains) inflates the reported ceiling; the remaining 28 features still achieve F1 of 0.95-0.96, so most of the separability reflects genuine lexical structure in phishing URLs rather than an artifact of URL construction alone.</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[1]: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periodic retraining with a sliding window versus cumulative retraining that keeps all historical examples, to see whether either meaningfully closes it. We evaluate on 180 days of continuously reported phishing URLs, which lets us construct genuinely time-ordered evaluation blocks rather than simulating drift artificially.</w:t>
      </w:r>
    </w:p>
    <w:p>
      <w:pPr>
        <w:spacing w:after="200"/>
      </w:pPr>
      <w:r>
        <w:rPr>
          <w:sz w:val="22"/>
          <w:szCs w:val="22"/>
        </w:rPr>
        <w:t xml:space="preserve">The contributions of this work are: (1) a temporal, block-based evaluation of lexical phishing classifiers on real, timestamped data, contrasted directly against the random-split baseline the field defaults to; (2) a statistically defensible estimate of the degradation trend's significance, using an ANCOVA specification that separates within-model drift from between-model baseline differences, alongside a specification-free Page test as a cross-check; (3) a mechanistic account, grounded in feature-distribution and feature-importance evidence rather than aggregate metrics alone, of why the measured degradation is small: an easy negative class, not a solved drift problem.</w:t>
      </w:r>
    </w:p>
    <w:p>
      <w:pPr>
        <w:pStyle w:val="Heading1"/>
        <w:spacing w:after="150" w:before="300"/>
      </w:pPr>
      <w:r>
        <w:t xml:space="preserve">2. Related Work</w:t>
      </w:r>
    </w:p>
    <w:p>
      <w:pPr>
        <w:spacing w:after="200"/>
      </w:pPr>
      <w:r>
        <w:rPr>
          <w:sz w:val="22"/>
          <w:szCs w:val="22"/>
        </w:rPr>
        <w:t xml:space="preserve">Odeh et al. [2] propose PhiBoost, an adaptive-boosting phishing detector built on lexical and host-based URL features, and report strong within-distribution accuracy using a conventional held-out test split, exactly the evaluation protocol this paper argues is insufficient on its own, since it cannot distinguish a detector that has learned durable phishing indicators from one that has overfit to the particular campaigns present in the training window. Alslman et al. [3]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 This concern is not new to security classification in general: Pendlebury et al. [4] name and formalize the same failure mode for malware classifiers under the label </w:t>
      </w:r>
      <w:r>
        <w:rPr>
          <w:sz w:val="22"/>
          <w:szCs w:val="22"/>
        </w:rPr>
        <w:t xml:space="preserve">temporal bias</w:t>
      </w:r>
      <w:r>
        <w:rPr>
          <w:sz w:val="22"/>
          <w:szCs w:val="22"/>
        </w:rPr>
        <w:t xml:space="preserve">, showing that a naive random train/test split can silently mix future and past samples and thereby overstate real-world performance, and propose constraints (training strictly on past data, realistic class-ratio testing) that our fixed, sliding-window, and cumulative designs already satisfy by construction; we are not aware of a comparable temporal-bias analysis having been applied to phishing URL classification specifically, which is the gap this paper addresses.</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[5],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Table 1 lists all 32 with their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42"/>
        <w:gridCol w:w="5657"/>
      </w:tblGrid>
      <w:tr>
        <w:trPr>
          <w:tblHeader/>
        </w:trPr>
        <w:tc>
          <w:tcPr>
            <w:tcW w:type="dxa" w:w="3342"/>
            <w:shd w:fill="D9D9D9" w:color="auto" w:val="clear"/>
          </w:tcPr>
          <w:p>
            <w:r>
              <w:rPr>
                <w:b/>
                <w:bCs/>
                <w:sz w:val="16"/>
                <w:szCs w:val="16"/>
              </w:rPr>
              <w:t xml:space="preserve">Feature</w:t>
            </w:r>
          </w:p>
        </w:tc>
        <w:tc>
          <w:tcPr>
            <w:tcW w:type="dxa" w:w="5657"/>
            <w:shd w:fill="D9D9D9" w:color="auto" w:val="clear"/>
          </w:tcPr>
          <w:p>
            <w:r>
              <w:rPr>
                <w:b/>
                <w:bCs/>
                <w:sz w:val="16"/>
                <w:szCs w:val="16"/>
              </w:rPr>
              <w:t xml:space="preserve">Definition</w:t>
            </w:r>
          </w:p>
        </w:tc>
      </w:tr>
      <w:tr>
        <w:tc>
          <w:tcPr>
            <w:tcW w:type="dxa" w:w="3342"/>
          </w:tcPr>
          <w:p>
            <w:r>
              <w:rPr>
                <w:rFonts w:ascii="Courier New" w:cs="Courier New" w:eastAsia="Courier New" w:hAnsi="Courier New"/>
                <w:sz w:val="16"/>
                <w:szCs w:val="16"/>
              </w:rPr>
              <w:t xml:space="preserve">url_length</w:t>
            </w:r>
          </w:p>
        </w:tc>
        <w:tc>
          <w:tcPr>
            <w:tcW w:type="dxa" w:w="5657"/>
          </w:tcPr>
          <w:p>
            <w:r>
              <w:rPr>
                <w:sz w:val="16"/>
                <w:szCs w:val="16"/>
              </w:rPr>
              <w:t xml:space="preserve">Character length of the full URL</w:t>
            </w:r>
          </w:p>
        </w:tc>
      </w:tr>
      <w:tr>
        <w:tc>
          <w:tcPr>
            <w:tcW w:type="dxa" w:w="3342"/>
          </w:tcPr>
          <w:p>
            <w:r>
              <w:rPr>
                <w:rFonts w:ascii="Courier New" w:cs="Courier New" w:eastAsia="Courier New" w:hAnsi="Courier New"/>
                <w:sz w:val="16"/>
                <w:szCs w:val="16"/>
              </w:rPr>
              <w:t xml:space="preserve">hostname_length</w:t>
            </w:r>
          </w:p>
        </w:tc>
        <w:tc>
          <w:tcPr>
            <w:tcW w:type="dxa" w:w="5657"/>
          </w:tcPr>
          <w:p>
            <w:r>
              <w:rPr>
                <w:sz w:val="16"/>
                <w:szCs w:val="16"/>
              </w:rPr>
              <w:t xml:space="preserve">Character length of the hostname</w:t>
            </w:r>
          </w:p>
        </w:tc>
      </w:tr>
      <w:tr>
        <w:tc>
          <w:tcPr>
            <w:tcW w:type="dxa" w:w="3342"/>
          </w:tcPr>
          <w:p>
            <w:r>
              <w:rPr>
                <w:rFonts w:ascii="Courier New" w:cs="Courier New" w:eastAsia="Courier New" w:hAnsi="Courier New"/>
                <w:sz w:val="16"/>
                <w:szCs w:val="16"/>
              </w:rPr>
              <w:t xml:space="preserve">path_length</w:t>
            </w:r>
          </w:p>
        </w:tc>
        <w:tc>
          <w:tcPr>
            <w:tcW w:type="dxa" w:w="5657"/>
          </w:tcPr>
          <w:p>
            <w:r>
              <w:rPr>
                <w:sz w:val="16"/>
                <w:szCs w:val="16"/>
              </w:rPr>
              <w:t xml:space="preserve">Character length of the URL path</w:t>
            </w:r>
          </w:p>
        </w:tc>
      </w:tr>
      <w:tr>
        <w:tc>
          <w:tcPr>
            <w:tcW w:type="dxa" w:w="3342"/>
          </w:tcPr>
          <w:p>
            <w:r>
              <w:rPr>
                <w:rFonts w:ascii="Courier New" w:cs="Courier New" w:eastAsia="Courier New" w:hAnsi="Courier New"/>
                <w:sz w:val="16"/>
                <w:szCs w:val="16"/>
              </w:rPr>
              <w:t xml:space="preserve">num_dots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num_hyphens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num_underscores</w:t>
            </w:r>
          </w:p>
        </w:tc>
        <w:tc>
          <w:tcPr>
            <w:tcW w:type="dxa" w:w="5657"/>
          </w:tcPr>
          <w:p>
            <w:r>
              <w:rPr>
                <w:sz w:val="16"/>
                <w:szCs w:val="16"/>
              </w:rPr>
              <w:t xml:space="preserve">Count of </w:t>
            </w:r>
            <w:r>
              <w:rPr>
                <w:rFonts w:ascii="Courier New" w:cs="Courier New" w:eastAsia="Courier New" w:hAnsi="Courier New"/>
                <w:sz w:val="16"/>
                <w:szCs w:val="16"/>
              </w:rPr>
              <w:t xml:space="preserve">_</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num_slashes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num_question_marks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num_equals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num_ampersands</w:t>
            </w:r>
          </w:p>
        </w:tc>
        <w:tc>
          <w:tcPr>
            <w:tcW w:type="dxa" w:w="5657"/>
          </w:tcPr>
          <w:p>
            <w:r>
              <w:rPr>
                <w:sz w:val="16"/>
                <w:szCs w:val="16"/>
              </w:rPr>
              <w:t xml:space="preserve">Count of </w:t>
            </w:r>
            <w:r>
              <w:rPr>
                <w:rFonts w:ascii="Courier New" w:cs="Courier New" w:eastAsia="Courier New" w:hAnsi="Courier New"/>
                <w:sz w:val="16"/>
                <w:szCs w:val="16"/>
              </w:rPr>
              <w:t xml:space="preserve">&amp;</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num_percent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num_digits</w:t>
            </w:r>
          </w:p>
        </w:tc>
        <w:tc>
          <w:tcPr>
            <w:tcW w:type="dxa" w:w="5657"/>
          </w:tcPr>
          <w:p>
            <w:r>
              <w:rPr>
                <w:sz w:val="16"/>
                <w:szCs w:val="16"/>
              </w:rPr>
              <w:t xml:space="preserve">Count of digit characters in the URL</w:t>
            </w:r>
          </w:p>
        </w:tc>
      </w:tr>
      <w:tr>
        <w:tc>
          <w:tcPr>
            <w:tcW w:type="dxa" w:w="3342"/>
          </w:tcPr>
          <w:p>
            <w:r>
              <w:rPr>
                <w:rFonts w:ascii="Courier New" w:cs="Courier New" w:eastAsia="Courier New" w:hAnsi="Courier New"/>
                <w:sz w:val="16"/>
                <w:szCs w:val="16"/>
              </w:rPr>
              <w:t xml:space="preserve">digit_ratio</w:t>
            </w:r>
          </w:p>
        </w:tc>
        <w:tc>
          <w:tcPr>
            <w:tcW w:type="dxa" w:w="5657"/>
          </w:tcPr>
          <w:p>
            <w:r>
              <w:rPr>
                <w:sz w:val="16"/>
                <w:szCs w:val="16"/>
              </w:rPr>
              <w:t xml:space="preserve">Digit characters as a fraction of URL length</w:t>
            </w:r>
          </w:p>
        </w:tc>
      </w:tr>
      <w:tr>
        <w:tc>
          <w:tcPr>
            <w:tcW w:type="dxa" w:w="3342"/>
          </w:tcPr>
          <w:p>
            <w:r>
              <w:rPr>
                <w:rFonts w:ascii="Courier New" w:cs="Courier New" w:eastAsia="Courier New" w:hAnsi="Courier New"/>
                <w:sz w:val="16"/>
                <w:szCs w:val="16"/>
              </w:rPr>
              <w:t xml:space="preserve">num_subdomains</w:t>
            </w:r>
          </w:p>
        </w:tc>
        <w:tc>
          <w:tcPr>
            <w:tcW w:type="dxa" w:w="5657"/>
          </w:tcPr>
          <w:p>
            <w:r>
              <w:rPr>
                <w:sz w:val="16"/>
                <w:szCs w:val="16"/>
              </w:rPr>
              <w:t xml:space="preserve">Number of hostname labels beyond domain and TLD</w:t>
            </w:r>
          </w:p>
        </w:tc>
      </w:tr>
      <w:tr>
        <w:tc>
          <w:tcPr>
            <w:tcW w:type="dxa" w:w="3342"/>
          </w:tcPr>
          <w:p>
            <w:r>
              <w:rPr>
                <w:rFonts w:ascii="Courier New" w:cs="Courier New" w:eastAsia="Courier New" w:hAnsi="Courier New"/>
                <w:sz w:val="16"/>
                <w:szCs w:val="16"/>
              </w:rPr>
              <w:t xml:space="preserve">has_ip_address</w:t>
            </w:r>
          </w:p>
        </w:tc>
        <w:tc>
          <w:tcPr>
            <w:tcW w:type="dxa" w:w="5657"/>
          </w:tcPr>
          <w:p>
            <w:r>
              <w:rPr>
                <w:sz w:val="16"/>
                <w:szCs w:val="16"/>
              </w:rPr>
              <w:t xml:space="preserve">1 if the hostname is a literal IPv4 address</w:t>
            </w:r>
          </w:p>
        </w:tc>
      </w:tr>
      <w:tr>
        <w:tc>
          <w:tcPr>
            <w:tcW w:type="dxa" w:w="3342"/>
          </w:tcPr>
          <w:p>
            <w:r>
              <w:rPr>
                <w:rFonts w:ascii="Courier New" w:cs="Courier New" w:eastAsia="Courier New" w:hAnsi="Courier New"/>
                <w:sz w:val="16"/>
                <w:szCs w:val="16"/>
              </w:rPr>
              <w:t xml:space="preserve">has_port</w:t>
            </w:r>
          </w:p>
        </w:tc>
        <w:tc>
          <w:tcPr>
            <w:tcW w:type="dxa" w:w="5657"/>
          </w:tcPr>
          <w:p>
            <w:r>
              <w:rPr>
                <w:sz w:val="16"/>
                <w:szCs w:val="16"/>
              </w:rPr>
              <w:t xml:space="preserve">1 if a port number is present</w:t>
            </w:r>
          </w:p>
        </w:tc>
      </w:tr>
      <w:tr>
        <w:tc>
          <w:tcPr>
            <w:tcW w:type="dxa" w:w="3342"/>
          </w:tcPr>
          <w:p>
            <w:r>
              <w:rPr>
                <w:rFonts w:ascii="Courier New" w:cs="Courier New" w:eastAsia="Courier New" w:hAnsi="Courier New"/>
                <w:sz w:val="16"/>
                <w:szCs w:val="16"/>
              </w:rPr>
              <w:t xml:space="preserve">is_https</w:t>
            </w:r>
          </w:p>
        </w:tc>
        <w:tc>
          <w:tcPr>
            <w:tcW w:type="dxa" w:w="5657"/>
          </w:tcPr>
          <w:p>
            <w:r>
              <w:rPr>
                <w:sz w:val="16"/>
                <w:szCs w:val="16"/>
              </w:rPr>
              <w:t xml:space="preserve">1 if the scheme is </w:t>
            </w:r>
            <w:r>
              <w:rPr>
                <w:rFonts w:ascii="Courier New" w:cs="Courier New" w:eastAsia="Courier New" w:hAnsi="Courier New"/>
                <w:sz w:val="16"/>
                <w:szCs w:val="16"/>
              </w:rPr>
              <w:t xml:space="preserve">https</w:t>
            </w:r>
          </w:p>
        </w:tc>
      </w:tr>
      <w:tr>
        <w:tc>
          <w:tcPr>
            <w:tcW w:type="dxa" w:w="3342"/>
          </w:tcPr>
          <w:p>
            <w:r>
              <w:rPr>
                <w:rFonts w:ascii="Courier New" w:cs="Courier New" w:eastAsia="Courier New" w:hAnsi="Courier New"/>
                <w:sz w:val="16"/>
                <w:szCs w:val="16"/>
              </w:rPr>
              <w:t xml:space="preserve">url_entropy</w:t>
            </w:r>
          </w:p>
        </w:tc>
        <w:tc>
          <w:tcPr>
            <w:tcW w:type="dxa" w:w="5657"/>
          </w:tcPr>
          <w:p>
            <w:r>
              <w:rPr>
                <w:sz w:val="16"/>
                <w:szCs w:val="16"/>
              </w:rPr>
              <w:t xml:space="preserve">Shannon entropy of the full URL string</w:t>
            </w:r>
          </w:p>
        </w:tc>
      </w:tr>
      <w:tr>
        <w:tc>
          <w:tcPr>
            <w:tcW w:type="dxa" w:w="3342"/>
          </w:tcPr>
          <w:p>
            <w:r>
              <w:rPr>
                <w:rFonts w:ascii="Courier New" w:cs="Courier New" w:eastAsia="Courier New" w:hAnsi="Courier New"/>
                <w:sz w:val="16"/>
                <w:szCs w:val="16"/>
              </w:rPr>
              <w:t xml:space="preserve">hostname_entropy</w:t>
            </w:r>
          </w:p>
        </w:tc>
        <w:tc>
          <w:tcPr>
            <w:tcW w:type="dxa" w:w="5657"/>
          </w:tcPr>
          <w:p>
            <w:r>
              <w:rPr>
                <w:sz w:val="16"/>
                <w:szCs w:val="16"/>
              </w:rPr>
              <w:t xml:space="preserve">Shannon entropy of the hostname string</w:t>
            </w:r>
          </w:p>
        </w:tc>
      </w:tr>
      <w:tr>
        <w:tc>
          <w:tcPr>
            <w:tcW w:type="dxa" w:w="3342"/>
          </w:tcPr>
          <w:p>
            <w:r>
              <w:rPr>
                <w:rFonts w:ascii="Courier New" w:cs="Courier New" w:eastAsia="Courier New" w:hAnsi="Courier New"/>
                <w:sz w:val="16"/>
                <w:szCs w:val="16"/>
              </w:rPr>
              <w:t xml:space="preserve">is_shortened</w:t>
            </w:r>
          </w:p>
        </w:tc>
        <w:tc>
          <w:tcPr>
            <w:tcW w:type="dxa" w:w="5657"/>
          </w:tcPr>
          <w:p>
            <w:r>
              <w:rPr>
                <w:sz w:val="16"/>
                <w:szCs w:val="16"/>
              </w:rPr>
              <w:t xml:space="preserve">1 if hostname matches a known URL-shortener domain</w:t>
            </w:r>
          </w:p>
        </w:tc>
      </w:tr>
      <w:tr>
        <w:tc>
          <w:tcPr>
            <w:tcW w:type="dxa" w:w="3342"/>
          </w:tcPr>
          <w:p>
            <w:r>
              <w:rPr>
                <w:rFonts w:ascii="Courier New" w:cs="Courier New" w:eastAsia="Courier New" w:hAnsi="Courier New"/>
                <w:sz w:val="16"/>
                <w:szCs w:val="16"/>
              </w:rPr>
              <w:t xml:space="preserve">num_suspicious_keywords</w:t>
            </w:r>
          </w:p>
        </w:tc>
        <w:tc>
          <w:tcPr>
            <w:tcW w:type="dxa" w:w="5657"/>
          </w:tcPr>
          <w:p>
            <w:r>
              <w:rPr>
                <w:sz w:val="16"/>
                <w:szCs w:val="16"/>
              </w:rPr>
              <w:t xml:space="preserve">Count of phishing-associated keywords (e.g., “login”, “verify”)</w:t>
            </w:r>
          </w:p>
        </w:tc>
      </w:tr>
      <w:tr>
        <w:tc>
          <w:tcPr>
            <w:tcW w:type="dxa" w:w="3342"/>
          </w:tcPr>
          <w:p>
            <w:r>
              <w:rPr>
                <w:rFonts w:ascii="Courier New" w:cs="Courier New" w:eastAsia="Courier New" w:hAnsi="Courier New"/>
                <w:sz w:val="16"/>
                <w:szCs w:val="16"/>
              </w:rPr>
              <w:t xml:space="preserve">has_suspicious_keyword</w:t>
            </w:r>
          </w:p>
        </w:tc>
        <w:tc>
          <w:tcPr>
            <w:tcW w:type="dxa" w:w="5657"/>
          </w:tcPr>
          <w:p>
            <w:r>
              <w:rPr>
                <w:sz w:val="16"/>
                <w:szCs w:val="16"/>
              </w:rPr>
              <w:t xml:space="preserve">1 if any suspicious keyword is present</w:t>
            </w:r>
          </w:p>
        </w:tc>
      </w:tr>
      <w:tr>
        <w:tc>
          <w:tcPr>
            <w:tcW w:type="dxa" w:w="3342"/>
          </w:tcPr>
          <w:p>
            <w:r>
              <w:rPr>
                <w:rFonts w:ascii="Courier New" w:cs="Courier New" w:eastAsia="Courier New" w:hAnsi="Courier New"/>
                <w:sz w:val="16"/>
                <w:szCs w:val="16"/>
              </w:rPr>
              <w:t xml:space="preserve">domain_length</w:t>
            </w:r>
          </w:p>
        </w:tc>
        <w:tc>
          <w:tcPr>
            <w:tcW w:type="dxa" w:w="5657"/>
          </w:tcPr>
          <w:p>
            <w:r>
              <w:rPr>
                <w:sz w:val="16"/>
                <w:szCs w:val="16"/>
              </w:rPr>
              <w:t xml:space="preserve">Character length of the second-level domain label</w:t>
            </w:r>
          </w:p>
        </w:tc>
      </w:tr>
      <w:tr>
        <w:tc>
          <w:tcPr>
            <w:tcW w:type="dxa" w:w="3342"/>
          </w:tcPr>
          <w:p>
            <w:r>
              <w:rPr>
                <w:rFonts w:ascii="Courier New" w:cs="Courier New" w:eastAsia="Courier New" w:hAnsi="Courier New"/>
                <w:sz w:val="16"/>
                <w:szCs w:val="16"/>
              </w:rPr>
              <w:t xml:space="preserve">path_num_segments</w:t>
            </w:r>
          </w:p>
        </w:tc>
        <w:tc>
          <w:tcPr>
            <w:tcW w:type="dxa" w:w="5657"/>
          </w:tcPr>
          <w:p>
            <w:r>
              <w:rPr>
                <w:sz w:val="16"/>
                <w:szCs w:val="16"/>
              </w:rPr>
              <w:t xml:space="preserve">Number of non-empty path segments</w:t>
            </w:r>
          </w:p>
        </w:tc>
      </w:tr>
      <w:tr>
        <w:tc>
          <w:tcPr>
            <w:tcW w:type="dxa" w:w="3342"/>
          </w:tcPr>
          <w:p>
            <w:r>
              <w:rPr>
                <w:rFonts w:ascii="Courier New" w:cs="Courier New" w:eastAsia="Courier New" w:hAnsi="Courier New"/>
                <w:sz w:val="16"/>
                <w:szCs w:val="16"/>
              </w:rPr>
              <w:t xml:space="preserve">has_double_slash_in_path</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inside the path</w:t>
            </w:r>
          </w:p>
        </w:tc>
      </w:tr>
      <w:tr>
        <w:tc>
          <w:tcPr>
            <w:tcW w:type="dxa" w:w="3342"/>
          </w:tcPr>
          <w:p>
            <w:r>
              <w:rPr>
                <w:rFonts w:ascii="Courier New" w:cs="Courier New" w:eastAsia="Courier New" w:hAnsi="Courier New"/>
                <w:sz w:val="16"/>
                <w:szCs w:val="16"/>
              </w:rPr>
              <w:t xml:space="preserve">num_www</w:t>
            </w:r>
          </w:p>
        </w:tc>
        <w:tc>
          <w:tcPr>
            <w:tcW w:type="dxa" w:w="5657"/>
          </w:tcPr>
          <w:p>
            <w:r>
              <w:rPr>
                <w:sz w:val="16"/>
                <w:szCs w:val="16"/>
              </w:rPr>
              <w:t xml:space="preserve">1 if the hostname starts with </w:t>
            </w:r>
            <w:r>
              <w:rPr>
                <w:rFonts w:ascii="Courier New" w:cs="Courier New" w:eastAsia="Courier New" w:hAnsi="Courier New"/>
                <w:sz w:val="16"/>
                <w:szCs w:val="16"/>
              </w:rPr>
              <w:t xml:space="preserve">www.</w:t>
            </w:r>
          </w:p>
        </w:tc>
      </w:tr>
      <w:tr>
        <w:tc>
          <w:tcPr>
            <w:tcW w:type="dxa" w:w="3342"/>
          </w:tcPr>
          <w:p>
            <w:r>
              <w:rPr>
                <w:rFonts w:ascii="Courier New" w:cs="Courier New" w:eastAsia="Courier New" w:hAnsi="Courier New"/>
                <w:sz w:val="16"/>
                <w:szCs w:val="16"/>
              </w:rPr>
              <w:t xml:space="preserve">longest_label_length</w:t>
            </w:r>
          </w:p>
        </w:tc>
        <w:tc>
          <w:tcPr>
            <w:tcW w:type="dxa" w:w="5657"/>
          </w:tcPr>
          <w:p>
            <w:r>
              <w:rPr>
                <w:sz w:val="16"/>
                <w:szCs w:val="16"/>
              </w:rPr>
              <w:t xml:space="preserve">Length of the longest hostname label</w:t>
            </w:r>
          </w:p>
        </w:tc>
      </w:tr>
      <w:tr>
        <w:tc>
          <w:tcPr>
            <w:tcW w:type="dxa" w:w="3342"/>
          </w:tcPr>
          <w:p>
            <w:r>
              <w:rPr>
                <w:rFonts w:ascii="Courier New" w:cs="Courier New" w:eastAsia="Courier New" w:hAnsi="Courier New"/>
                <w:sz w:val="16"/>
                <w:szCs w:val="16"/>
              </w:rPr>
              <w:t xml:space="preserve">tld_length</w:t>
            </w:r>
          </w:p>
        </w:tc>
        <w:tc>
          <w:tcPr>
            <w:tcW w:type="dxa" w:w="5657"/>
          </w:tcPr>
          <w:p>
            <w:r>
              <w:rPr>
                <w:sz w:val="16"/>
                <w:szCs w:val="16"/>
              </w:rPr>
              <w:t xml:space="preserve">Character length of the top-level domain</w:t>
            </w:r>
          </w:p>
        </w:tc>
      </w:tr>
      <w:tr>
        <w:tc>
          <w:tcPr>
            <w:tcW w:type="dxa" w:w="3342"/>
          </w:tcPr>
          <w:p>
            <w:r>
              <w:rPr>
                <w:rFonts w:ascii="Courier New" w:cs="Courier New" w:eastAsia="Courier New" w:hAnsi="Courier New"/>
                <w:sz w:val="16"/>
                <w:szCs w:val="16"/>
              </w:rPr>
              <w:t xml:space="preserve">has_at_symbol</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anywhere in the URL</w:t>
            </w:r>
          </w:p>
        </w:tc>
      </w:tr>
      <w:tr>
        <w:tc>
          <w:tcPr>
            <w:tcW w:type="dxa" w:w="3342"/>
          </w:tcPr>
          <w:p>
            <w:r>
              <w:rPr>
                <w:rFonts w:ascii="Courier New" w:cs="Courier New" w:eastAsia="Courier New" w:hAnsi="Courier New"/>
                <w:sz w:val="16"/>
                <w:szCs w:val="16"/>
              </w:rPr>
              <w:t xml:space="preserve">num_dashes_in_hostname</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within the hostname only</w:t>
            </w:r>
          </w:p>
        </w:tc>
      </w:tr>
      <w:tr>
        <w:tc>
          <w:tcPr>
            <w:tcW w:type="dxa" w:w="3342"/>
          </w:tcPr>
          <w:p>
            <w:r>
              <w:rPr>
                <w:rFonts w:ascii="Courier New" w:cs="Courier New" w:eastAsia="Courier New" w:hAnsi="Courier New"/>
                <w:sz w:val="16"/>
                <w:szCs w:val="16"/>
              </w:rPr>
              <w:t xml:space="preserve">vowel_ratio_hostname</w:t>
            </w:r>
          </w:p>
        </w:tc>
        <w:tc>
          <w:tcPr>
            <w:tcW w:type="dxa" w:w="5657"/>
          </w:tcPr>
          <w:p>
            <w:r>
              <w:rPr>
                <w:sz w:val="16"/>
                <w:szCs w:val="16"/>
              </w:rPr>
              <w:t xml:space="preserve">Vowel characters as a fraction of hostname length</w:t>
            </w:r>
          </w:p>
        </w:tc>
      </w:tr>
    </w:tbl>
    <w:p>
      <w:pPr>
        <w:spacing w:after="300" w:before="100"/>
      </w:pPr>
      <w:r>
        <w:rPr>
          <w:b w:val="false"/>
          <w:bCs w:val="false"/>
          <w:i/>
          <w:iCs/>
          <w:sz w:val="18"/>
          <w:szCs w:val="18"/>
        </w:rPr>
        <w:t xml:space="preserve">Table 1. Lexical features extracted per URL.</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[6], XGBoost [7],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w:t>
      </w:r>
      <w:r>
        <w:rPr>
          <w:rFonts w:ascii="Courier New" w:cs="Courier New" w:eastAsia="Courier New" w:hAnsi="Courier New"/>
          <w:sz w:val="22"/>
          <w:szCs w:val="22"/>
        </w:rPr>
        <w:t xml:space="preserve">f1 ~ distance + model</w:t>
      </w:r>
      <w:r>
        <w:rPr>
          <w:sz w:val="22"/>
          <w:szCs w:val="22"/>
        </w:rPr>
        <w:t xml:space="preserve">)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there is no configuration in which any model performs poorly in absolute terms (Figure 1). The comparison that matters is relative: Table 2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 Table 3 gives the full breakdown by block and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2.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2076"/>
        <w:gridCol w:w="1730"/>
        <w:gridCol w:w="2423"/>
      </w:tblGrid>
      <w:tr>
        <w:trPr>
          <w:tblHeader/>
        </w:trPr>
        <w:tc>
          <w:tcPr>
            <w:tcW w:type="dxa" w:w="2769"/>
            <w:shd w:fill="D9D9D9" w:color="auto" w:val="clear"/>
          </w:tcPr>
          <w:p>
            <w:r>
              <w:rPr>
                <w:b/>
                <w:bCs/>
                <w:sz w:val="20"/>
                <w:szCs w:val="20"/>
              </w:rPr>
              <w:t xml:space="preserve">Distance</w:t>
            </w:r>
          </w:p>
        </w:tc>
        <w:tc>
          <w:tcPr>
            <w:tcW w:type="dxa" w:w="2076"/>
            <w:shd w:fill="D9D9D9" w:color="auto" w:val="clear"/>
          </w:tcPr>
          <w:p>
            <w:r>
              <w:rPr>
                <w:b/>
                <w:bCs/>
                <w:sz w:val="20"/>
                <w:szCs w:val="20"/>
              </w:rPr>
              <w:t xml:space="preserve">Random Forest</w:t>
            </w:r>
          </w:p>
        </w:tc>
        <w:tc>
          <w:tcPr>
            <w:tcW w:type="dxa" w:w="1730"/>
            <w:shd w:fill="D9D9D9" w:color="auto" w:val="clear"/>
          </w:tcPr>
          <w:p>
            <w:r>
              <w:rPr>
                <w:b/>
                <w:bCs/>
                <w:sz w:val="20"/>
                <w:szCs w:val="20"/>
              </w:rPr>
              <w:t xml:space="preserve">XGBoost</w:t>
            </w:r>
          </w:p>
        </w:tc>
        <w:tc>
          <w:tcPr>
            <w:tcW w:type="dxa" w:w="2423"/>
            <w:shd w:fill="D9D9D9" w:color="auto" w:val="clear"/>
          </w:tcPr>
          <w:p>
            <w:r>
              <w:rPr>
                <w:b/>
                <w:bCs/>
                <w:sz w:val="20"/>
                <w:szCs w:val="20"/>
              </w:rPr>
              <w:t xml:space="preserve">Logistic Regression</w:t>
            </w:r>
          </w:p>
        </w:tc>
      </w:tr>
      <w:tr>
        <w:tc>
          <w:tcPr>
            <w:tcW w:type="dxa" w:w="2769"/>
          </w:tcPr>
          <w:p>
            <w:r>
              <w:rPr>
                <w:sz w:val="20"/>
                <w:szCs w:val="20"/>
              </w:rPr>
              <w:t xml:space="preserve">1 (block 2)</w:t>
            </w:r>
          </w:p>
        </w:tc>
        <w:tc>
          <w:tcPr>
            <w:tcW w:type="dxa" w:w="2076"/>
          </w:tcPr>
          <w:p>
            <w:r>
              <w:rPr>
                <w:b/>
                <w:bCs/>
                <w:sz w:val="20"/>
                <w:szCs w:val="20"/>
              </w:rPr>
              <w:t xml:space="preserve">0.9963</w:t>
            </w:r>
          </w:p>
        </w:tc>
        <w:tc>
          <w:tcPr>
            <w:tcW w:type="dxa" w:w="1730"/>
          </w:tcPr>
          <w:p>
            <w:r>
              <w:rPr>
                <w:sz w:val="20"/>
                <w:szCs w:val="20"/>
              </w:rPr>
              <w:t xml:space="preserve">0.9961</w:t>
            </w:r>
          </w:p>
        </w:tc>
        <w:tc>
          <w:tcPr>
            <w:tcW w:type="dxa" w:w="2423"/>
          </w:tcPr>
          <w:p>
            <w:r>
              <w:rPr>
                <w:sz w:val="20"/>
                <w:szCs w:val="20"/>
              </w:rPr>
              <w:t xml:space="preserve">0.9944</w:t>
            </w:r>
          </w:p>
        </w:tc>
      </w:tr>
      <w:tr>
        <w:tc>
          <w:tcPr>
            <w:tcW w:type="dxa" w:w="2769"/>
          </w:tcPr>
          <w:p>
            <w:r>
              <w:rPr>
                <w:sz w:val="20"/>
                <w:szCs w:val="20"/>
              </w:rPr>
              <w:t xml:space="preserve">2 (block 3)</w:t>
            </w:r>
          </w:p>
        </w:tc>
        <w:tc>
          <w:tcPr>
            <w:tcW w:type="dxa" w:w="2076"/>
          </w:tcPr>
          <w:p>
            <w:r>
              <w:rPr>
                <w:b/>
                <w:bCs/>
                <w:sz w:val="20"/>
                <w:szCs w:val="20"/>
              </w:rPr>
              <w:t xml:space="preserve">0.9954</w:t>
            </w:r>
          </w:p>
        </w:tc>
        <w:tc>
          <w:tcPr>
            <w:tcW w:type="dxa" w:w="1730"/>
          </w:tcPr>
          <w:p>
            <w:r>
              <w:rPr>
                <w:sz w:val="20"/>
                <w:szCs w:val="20"/>
              </w:rPr>
              <w:t xml:space="preserve">0.9938</w:t>
            </w:r>
          </w:p>
        </w:tc>
        <w:tc>
          <w:tcPr>
            <w:tcW w:type="dxa" w:w="2423"/>
          </w:tcPr>
          <w:p>
            <w:r>
              <w:rPr>
                <w:sz w:val="20"/>
                <w:szCs w:val="20"/>
              </w:rPr>
              <w:t xml:space="preserve">0.9921</w:t>
            </w:r>
          </w:p>
        </w:tc>
      </w:tr>
      <w:tr>
        <w:tc>
          <w:tcPr>
            <w:tcW w:type="dxa" w:w="2769"/>
          </w:tcPr>
          <w:p>
            <w:r>
              <w:rPr>
                <w:sz w:val="20"/>
                <w:szCs w:val="20"/>
              </w:rPr>
              <w:t xml:space="preserve">3 (block 4)</w:t>
            </w:r>
          </w:p>
        </w:tc>
        <w:tc>
          <w:tcPr>
            <w:tcW w:type="dxa" w:w="2076"/>
          </w:tcPr>
          <w:p>
            <w:r>
              <w:rPr>
                <w:b/>
                <w:bCs/>
                <w:sz w:val="20"/>
                <w:szCs w:val="20"/>
              </w:rPr>
              <w:t xml:space="preserve">0.9925</w:t>
            </w:r>
          </w:p>
        </w:tc>
        <w:tc>
          <w:tcPr>
            <w:tcW w:type="dxa" w:w="1730"/>
          </w:tcPr>
          <w:p>
            <w:r>
              <w:rPr>
                <w:sz w:val="20"/>
                <w:szCs w:val="20"/>
              </w:rPr>
              <w:t xml:space="preserve">0.9921</w:t>
            </w:r>
          </w:p>
        </w:tc>
        <w:tc>
          <w:tcPr>
            <w:tcW w:type="dxa" w:w="2423"/>
          </w:tcPr>
          <w:p>
            <w:r>
              <w:rPr>
                <w:sz w:val="20"/>
                <w:szCs w:val="20"/>
              </w:rPr>
              <w:t xml:space="preserve">0.9876</w:t>
            </w:r>
          </w:p>
        </w:tc>
      </w:tr>
      <w:tr>
        <w:tc>
          <w:tcPr>
            <w:tcW w:type="dxa" w:w="2769"/>
          </w:tcPr>
          <w:p>
            <w:r>
              <w:rPr>
                <w:sz w:val="20"/>
                <w:szCs w:val="20"/>
              </w:rPr>
              <w:t xml:space="preserve">4 (block 5)</w:t>
            </w:r>
          </w:p>
        </w:tc>
        <w:tc>
          <w:tcPr>
            <w:tcW w:type="dxa" w:w="2076"/>
          </w:tcPr>
          <w:p>
            <w:r>
              <w:rPr>
                <w:b/>
                <w:bCs/>
                <w:sz w:val="20"/>
                <w:szCs w:val="20"/>
              </w:rPr>
              <w:t xml:space="preserve">0.9960</w:t>
            </w:r>
          </w:p>
        </w:tc>
        <w:tc>
          <w:tcPr>
            <w:tcW w:type="dxa" w:w="1730"/>
          </w:tcPr>
          <w:p>
            <w:r>
              <w:rPr>
                <w:sz w:val="20"/>
                <w:szCs w:val="20"/>
              </w:rPr>
              <w:t xml:space="preserve">0.9952</w:t>
            </w:r>
          </w:p>
        </w:tc>
        <w:tc>
          <w:tcPr>
            <w:tcW w:type="dxa" w:w="2423"/>
          </w:tcPr>
          <w:p>
            <w:r>
              <w:rPr>
                <w:sz w:val="20"/>
                <w:szCs w:val="20"/>
              </w:rPr>
              <w:t xml:space="preserve">0.9908</w:t>
            </w:r>
          </w:p>
        </w:tc>
      </w:tr>
      <w:tr>
        <w:tc>
          <w:tcPr>
            <w:tcW w:type="dxa" w:w="2769"/>
          </w:tcPr>
          <w:p>
            <w:r>
              <w:rPr>
                <w:sz w:val="20"/>
                <w:szCs w:val="20"/>
              </w:rPr>
              <w:t xml:space="preserve">5 (block 6, worst)</w:t>
            </w:r>
          </w:p>
        </w:tc>
        <w:tc>
          <w:tcPr>
            <w:tcW w:type="dxa" w:w="2076"/>
          </w:tcPr>
          <w:p>
            <w:r>
              <w:rPr>
                <w:b/>
                <w:bCs/>
                <w:sz w:val="20"/>
                <w:szCs w:val="20"/>
              </w:rPr>
              <w:t xml:space="preserve">0.9916</w:t>
            </w:r>
          </w:p>
        </w:tc>
        <w:tc>
          <w:tcPr>
            <w:tcW w:type="dxa" w:w="1730"/>
          </w:tcPr>
          <w:p>
            <w:r>
              <w:rPr>
                <w:sz w:val="20"/>
                <w:szCs w:val="20"/>
              </w:rPr>
              <w:t xml:space="preserve">0.9902</w:t>
            </w:r>
          </w:p>
        </w:tc>
        <w:tc>
          <w:tcPr>
            <w:tcW w:type="dxa" w:w="2423"/>
          </w:tcPr>
          <w:p>
            <w:r>
              <w:rPr>
                <w:sz w:val="20"/>
                <w:szCs w:val="20"/>
              </w:rPr>
              <w:t xml:space="preserve">0.9842</w:t>
            </w:r>
          </w:p>
        </w:tc>
      </w:tr>
    </w:tbl>
    <w:p>
      <w:pPr>
        <w:spacing w:after="300" w:before="100"/>
      </w:pPr>
      <w:r>
        <w:rPr>
          <w:b w:val="false"/>
          <w:bCs w:val="false"/>
          <w:i/>
          <w:iCs/>
          <w:sz w:val="18"/>
          <w:szCs w:val="18"/>
        </w:rPr>
        <w:t xml:space="preserve">Table 3. F1 by evaluation block and model (fixed-training design: trained on block 1, evaluated on blocks 2 through 6, at increasing temporal distance).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All three approaches (naive pooled regression, model-controlled ANCOVA, and the non-parametric Page test)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consistent with the hypothesis that retaining historical examples helps more than it hurts (Figure 2). The paired Wilcoxon test on the five block-level F1 values per model has too few pairs to reach conventional significance regardless of the true effect size (p = 0.125-0.25), so we instead compare the two strategies with a paired bootstrap over the underlying predictions (2,000 resamples per evaluation block, pooled across the five blocks): this confirms cumulative retraining outperforms sliding-window retraining for all three models, with 95% confidence intervals excluding zero (Random Forest: +0.00024, 95% CI [0.00011, 0.00040]; XGBoost: +0.00067, 95% CI [0.00035, 0.00099]; Logistic Regression: +0.00080, 95% CI [0.00051, 0.00109]; all p &lt; 0.001). The effect is real but small in absolute F1 terms, consistent with the modest overall degradation reported above.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such as newly registered legitimate domains or domains with URL structures that superficially resemble phishing (long paths, subdomains, marketing redirect chains),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w:t>
      </w:r>
    </w:p>
    <w:p>
      <w:pPr>
        <w:spacing w:after="200"/>
      </w:pPr>
      <w:r>
        <w:rPr>
          <w:sz w:val="22"/>
          <w:szCs w:val="22"/>
        </w:rPr>
        <w:t xml:space="preserve">Because these four features are also plausible artifacts of how the legitimate class was constructed (Tranco supplies bare domains, which are structurally shorter and path-free compared to full phishing URLs), we directly tested whether they are necessary for the near-ceiling performance by re-running the fixed-training design (block 1 versus blocks 2-6) with all four removed, leaving 28 features. Table 4 shows the result: F1 drops by 3.3 to 4.1 percentage points across the three models (e.g., random forest: 0.9943 to 0.9617 on average across displaced blocks), confirming that these four features carry real, non-trivial separating power and that part of the near-ceiling result reflects URL-construction differences between the two classes rather than phishing-specific content alone. At the same time, F1 with those four features removed remains at 0.95-0.96, far above chance and only modestly below the full-feature result, so the remaining 28 lexical features carry substantial phishing-discriminating signal on their own. We read this as a partial, not a full, explanation of the near-ceiling result: the four structural features inflate the reported ceiling by a few points, but they are not the sole reason detection is easy.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66"/>
        <w:gridCol w:w="1999"/>
        <w:gridCol w:w="2666"/>
        <w:gridCol w:w="1666"/>
      </w:tblGrid>
      <w:tr>
        <w:trPr>
          <w:tblHeader/>
        </w:trPr>
        <w:tc>
          <w:tcPr>
            <w:tcW w:type="dxa" w:w="2666"/>
            <w:shd w:fill="D9D9D9" w:color="auto" w:val="clear"/>
          </w:tcPr>
          <w:p>
            <w:r>
              <w:rPr>
                <w:b/>
                <w:bCs/>
                <w:sz w:val="20"/>
                <w:szCs w:val="20"/>
              </w:rPr>
              <w:t xml:space="preserve">Model</w:t>
            </w:r>
          </w:p>
        </w:tc>
        <w:tc>
          <w:tcPr>
            <w:tcW w:type="dxa" w:w="1999"/>
            <w:shd w:fill="D9D9D9" w:color="auto" w:val="clear"/>
          </w:tcPr>
          <w:p>
            <w:r>
              <w:rPr>
                <w:b/>
                <w:bCs/>
                <w:sz w:val="20"/>
                <w:szCs w:val="20"/>
              </w:rPr>
              <w:t xml:space="preserve">F1, 32 features</w:t>
            </w:r>
          </w:p>
        </w:tc>
        <w:tc>
          <w:tcPr>
            <w:tcW w:type="dxa" w:w="2666"/>
            <w:shd w:fill="D9D9D9" w:color="auto" w:val="clear"/>
          </w:tcPr>
          <w:p>
            <w:r>
              <w:rPr>
                <w:b/>
                <w:bCs/>
                <w:sz w:val="20"/>
                <w:szCs w:val="20"/>
              </w:rPr>
              <w:t xml:space="preserve">F1, 28 features (ablated)</w:t>
            </w:r>
          </w:p>
        </w:tc>
        <w:tc>
          <w:tcPr>
            <w:tcW w:type="dxa" w:w="1666"/>
            <w:shd w:fill="D9D9D9" w:color="auto" w:val="clear"/>
          </w:tcPr>
          <w:p>
            <w:r>
              <w:rPr>
                <w:b/>
                <w:bCs/>
                <w:sz w:val="20"/>
                <w:szCs w:val="20"/>
              </w:rPr>
              <w:t xml:space="preserve">Drop</w:t>
            </w:r>
          </w:p>
        </w:tc>
      </w:tr>
      <w:tr>
        <w:tc>
          <w:tcPr>
            <w:tcW w:type="dxa" w:w="2666"/>
          </w:tcPr>
          <w:p>
            <w:r>
              <w:rPr>
                <w:sz w:val="20"/>
                <w:szCs w:val="20"/>
              </w:rPr>
              <w:t xml:space="preserve">Random Forest</w:t>
            </w:r>
          </w:p>
        </w:tc>
        <w:tc>
          <w:tcPr>
            <w:tcW w:type="dxa" w:w="1999"/>
          </w:tcPr>
          <w:p>
            <w:r>
              <w:rPr>
                <w:sz w:val="20"/>
                <w:szCs w:val="20"/>
              </w:rPr>
              <w:t xml:space="preserve">0.9943</w:t>
            </w:r>
          </w:p>
        </w:tc>
        <w:tc>
          <w:tcPr>
            <w:tcW w:type="dxa" w:w="2666"/>
          </w:tcPr>
          <w:p>
            <w:r>
              <w:rPr>
                <w:sz w:val="20"/>
                <w:szCs w:val="20"/>
              </w:rPr>
              <w:t xml:space="preserve">0.9617</w:t>
            </w:r>
          </w:p>
        </w:tc>
        <w:tc>
          <w:tcPr>
            <w:tcW w:type="dxa" w:w="1666"/>
          </w:tcPr>
          <w:p>
            <w:r>
              <w:rPr>
                <w:sz w:val="20"/>
                <w:szCs w:val="20"/>
              </w:rPr>
              <w:t xml:space="preserve">0.0326</w:t>
            </w:r>
          </w:p>
        </w:tc>
      </w:tr>
      <w:tr>
        <w:tc>
          <w:tcPr>
            <w:tcW w:type="dxa" w:w="2666"/>
          </w:tcPr>
          <w:p>
            <w:r>
              <w:rPr>
                <w:sz w:val="20"/>
                <w:szCs w:val="20"/>
              </w:rPr>
              <w:t xml:space="preserve">XGBoost</w:t>
            </w:r>
          </w:p>
        </w:tc>
        <w:tc>
          <w:tcPr>
            <w:tcW w:type="dxa" w:w="1999"/>
          </w:tcPr>
          <w:p>
            <w:r>
              <w:rPr>
                <w:sz w:val="20"/>
                <w:szCs w:val="20"/>
              </w:rPr>
              <w:t xml:space="preserve">0.9935</w:t>
            </w:r>
          </w:p>
        </w:tc>
        <w:tc>
          <w:tcPr>
            <w:tcW w:type="dxa" w:w="2666"/>
          </w:tcPr>
          <w:p>
            <w:r>
              <w:rPr>
                <w:sz w:val="20"/>
                <w:szCs w:val="20"/>
              </w:rPr>
              <w:t xml:space="preserve">0.9601</w:t>
            </w:r>
          </w:p>
        </w:tc>
        <w:tc>
          <w:tcPr>
            <w:tcW w:type="dxa" w:w="1666"/>
          </w:tcPr>
          <w:p>
            <w:r>
              <w:rPr>
                <w:sz w:val="20"/>
                <w:szCs w:val="20"/>
              </w:rPr>
              <w:t xml:space="preserve">0.0334</w:t>
            </w:r>
          </w:p>
        </w:tc>
      </w:tr>
      <w:tr>
        <w:tc>
          <w:tcPr>
            <w:tcW w:type="dxa" w:w="2666"/>
          </w:tcPr>
          <w:p>
            <w:r>
              <w:rPr>
                <w:sz w:val="20"/>
                <w:szCs w:val="20"/>
              </w:rPr>
              <w:t xml:space="preserve">Logistic Regression</w:t>
            </w:r>
          </w:p>
        </w:tc>
        <w:tc>
          <w:tcPr>
            <w:tcW w:type="dxa" w:w="1999"/>
          </w:tcPr>
          <w:p>
            <w:r>
              <w:rPr>
                <w:sz w:val="20"/>
                <w:szCs w:val="20"/>
              </w:rPr>
              <w:t xml:space="preserve">0.9899</w:t>
            </w:r>
          </w:p>
        </w:tc>
        <w:tc>
          <w:tcPr>
            <w:tcW w:type="dxa" w:w="2666"/>
          </w:tcPr>
          <w:p>
            <w:r>
              <w:rPr>
                <w:sz w:val="20"/>
                <w:szCs w:val="20"/>
              </w:rPr>
              <w:t xml:space="preserve">0.9490</w:t>
            </w:r>
          </w:p>
        </w:tc>
        <w:tc>
          <w:tcPr>
            <w:tcW w:type="dxa" w:w="1666"/>
          </w:tcPr>
          <w:p>
            <w:r>
              <w:rPr>
                <w:sz w:val="20"/>
                <w:szCs w:val="20"/>
              </w:rPr>
              <w:t xml:space="preserve">0.0409</w:t>
            </w:r>
          </w:p>
        </w:tc>
      </w:tr>
    </w:tbl>
    <w:p>
      <w:pPr>
        <w:spacing w:after="300" w:before="100"/>
      </w:pPr>
      <w:r>
        <w:rPr>
          <w:b w:val="false"/>
          <w:bCs w:val="false"/>
          <w:i/>
          <w:iCs/>
          <w:sz w:val="18"/>
          <w:szCs w:val="18"/>
        </w:rPr>
        <w:t xml:space="preserve">Table 4. F1 (fixed-training design, averaged across displaced blocks 2-6) with and without the four features most associated with legitimate-URL construction (</w:t>
      </w:r>
      <w:r>
        <w:rPr>
          <w:rFonts w:ascii="Courier New" w:cs="Courier New" w:eastAsia="Courier New" w:hAnsi="Courier New"/>
          <w:b w:val="false"/>
          <w:bCs w:val="false"/>
          <w:i/>
          <w:iCs/>
          <w:sz w:val="18"/>
          <w:szCs w:val="18"/>
        </w:rPr>
        <w:t xml:space="preserve">is_https</w:t>
      </w:r>
      <w:r>
        <w:rPr>
          <w:b w:val="false"/>
          <w:bCs w:val="false"/>
          <w:i/>
          <w:iCs/>
          <w:sz w:val="18"/>
          <w:szCs w:val="18"/>
        </w:rPr>
        <w:t xml:space="preserve">, </w:t>
      </w:r>
      <w:r>
        <w:rPr>
          <w:rFonts w:ascii="Courier New" w:cs="Courier New" w:eastAsia="Courier New" w:hAnsi="Courier New"/>
          <w:b w:val="false"/>
          <w:bCs w:val="false"/>
          <w:i/>
          <w:iCs/>
          <w:sz w:val="18"/>
          <w:szCs w:val="18"/>
        </w:rPr>
        <w:t xml:space="preserve">path_length</w:t>
      </w:r>
      <w:r>
        <w:rPr>
          <w:b w:val="false"/>
          <w:bCs w:val="false"/>
          <w:i/>
          <w:iCs/>
          <w:sz w:val="18"/>
          <w:szCs w:val="18"/>
        </w:rPr>
        <w:t xml:space="preserve">, </w:t>
      </w:r>
      <w:r>
        <w:rPr>
          <w:rFonts w:ascii="Courier New" w:cs="Courier New" w:eastAsia="Courier New" w:hAnsi="Courier New"/>
          <w:b w:val="false"/>
          <w:bCs w:val="false"/>
          <w:i/>
          <w:iCs/>
          <w:sz w:val="18"/>
          <w:szCs w:val="18"/>
        </w:rPr>
        <w:t xml:space="preserve">num_slashes</w:t>
      </w:r>
      <w:r>
        <w:rPr>
          <w:b w:val="false"/>
          <w:bCs w:val="false"/>
          <w:i/>
          <w:iCs/>
          <w:sz w:val="18"/>
          <w:szCs w:val="18"/>
        </w:rPr>
        <w:t xml:space="preserve">, </w:t>
      </w:r>
      <w:r>
        <w:rPr>
          <w:rFonts w:ascii="Courier New" w:cs="Courier New" w:eastAsia="Courier New" w:hAnsi="Courier New"/>
          <w:b w:val="false"/>
          <w:bCs w:val="false"/>
          <w:i/>
          <w:iCs/>
          <w:sz w:val="18"/>
          <w:szCs w:val="18"/>
        </w:rPr>
        <w:t xml:space="preserve">url_length</w:t>
      </w:r>
      <w:r>
        <w:rPr>
          <w:b w:val="false"/>
          <w:bCs w:val="false"/>
          <w:i/>
          <w:iCs/>
          <w:sz w:val="18"/>
          <w:szCs w:val="18"/>
        </w:rPr>
        <w:t xml:space="preserve">).</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 One further point bears directly on this concern: legitimate URLs receive a synthetic timestamp drawn uniformly over the 180-day window, which makes roughly half of each temporal block i.i.d. with respect to the legitimate class by construction; the small measured degradation could partly reflect this design choice rather than a property of real-world phishing detection. Two of our four designs also confound training-set size with the variable of interest. The random-split baseline in Table 2 trains on 80% of the full dataset, versus roughly one-sixth (block 1 alone) for the fixed-training design, so part of the random-vs.-temporal gap could reflect the difference in training-set size rather than temporal distance alone; our main degradation-trend analysis relies on the fixed design's within-design trend across distance (constant training set, so this specific confound does not apply there) and on the model-controlled ANCOVA and Page test, not on the random-vs.-fixed comparison itself, but Table 2 is still presented as a headline number and should be read with this caveat. Similarly, cumulative retraining's training set grows with k while sliding-window's stays fixed at one block, so cumulative's small but significant F1 advantage (Results) is also consistent with it simply having more training data at later blocks, not only with retaining older examples being helpful per se; we did not run a size-matched control that holds training volume fixed while varying recency to separate these two explanations.</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The magnitude of the effect is modest, well under one F1 point in most configurations,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[1] 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[2] Odeh, A., Keshta, I., &amp; Abdelfattah, E. (2021). PhiBoost — A Novel Phishing Detection Model Using Adaptive Boosting Approach. Jordanian Journal of Computers and Information Technology (JJCIT), 7(1), 64–73.</w:t>
      </w:r>
    </w:p>
    <w:p>
      <w:pPr>
        <w:spacing w:after="150"/>
        <w:ind w:left="400" w:hanging="400"/>
      </w:pPr>
      <w:r>
        <w:rPr>
          <w:sz w:val="20"/>
          <w:szCs w:val="20"/>
        </w:rPr>
        <w:t xml:space="preserve">[3] 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[4] Pendlebury, F., Pierazzi, F., Jordaney, R., Kinder, J., &amp; Cavallaro, L. (2019). TESSERACT: Eliminating Experimental Bias in Malware Classification across Space and Time. Proceedings of the 28th USENIX Security Symposium, 729–746. https://www.usenix.org/conference/usenixsecurity19/presentation/pendlebury</w:t>
      </w:r>
    </w:p>
    <w:p>
      <w:pPr>
        <w:spacing w:after="150"/>
        <w:ind w:left="400" w:hanging="400"/>
      </w:pPr>
      <w:r>
        <w:rPr>
          <w:sz w:val="20"/>
          <w:szCs w:val="20"/>
        </w:rPr>
        <w:t xml:space="preserve">[5] 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[6] Breiman, L. (2001). Random Forests. Machine Learning, 45(1), 5–32. https://doi.org/10.1023/A:1010933404324</w:t>
      </w:r>
    </w:p>
    <w:p>
      <w:pPr>
        <w:spacing w:after="150"/>
        <w:ind w:left="400" w:hanging="400"/>
      </w:pPr>
      <w:r>
        <w:rPr>
          <w:sz w:val="20"/>
          <w:szCs w:val="20"/>
        </w:rPr>
        <w:t xml:space="preserve">[7] Chen, T., &amp; Guestrin, C. (2016). XGBoost: A Scalable Tree Boosting System. Proceedings of the 22nd ACM SIGKDD International Conference on Knowledge Discovery and Data Mining, 785–794. https://doi.org/10.1145/2939672.2939785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2026-08-25T00:57:33.134Z</dcterms:created>
  <dcterms:modified xsi:type="dcterms:W3CDTF">2026-08-25T00:57:33.136Z</dcterms:modified>
</cp:coreProperties>
</file>

<file path=docProps/custom.xml><?xml version="1.0" encoding="utf-8"?>
<Properties xmlns="http://schemas.openxmlformats.org/officeDocument/2006/custom-properties" xmlns:vt="http://schemas.openxmlformats.org/officeDocument/2006/docPropsVTypes"/>
</file>