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712"/>
        <w:ind w:left="0" w:right="0"/>
      </w:pPr>
    </w:p>
    <w:p>
      <w:pPr>
        <w:autoSpaceDN w:val="0"/>
        <w:autoSpaceDE w:val="0"/>
        <w:widowControl/>
        <w:spacing w:line="418" w:lineRule="exact" w:before="0" w:after="0"/>
        <w:ind w:left="288" w:right="288" w:firstLine="0"/>
        <w:jc w:val="center"/>
      </w:pPr>
      <w:r>
        <w:rPr>
          <w:rFonts w:ascii="NimbusRomNo9L" w:hAnsi="NimbusRomNo9L" w:eastAsia="NimbusRomNo9L"/>
          <w:b/>
          <w:i w:val="0"/>
          <w:color w:val="000000"/>
          <w:sz w:val="40"/>
        </w:rPr>
        <w:t xml:space="preserve">CONCEPT DRIFT IN URL-BASED PHISHING </w:t>
      </w:r>
      <w:r>
        <w:rPr>
          <w:rFonts w:ascii="NimbusRomNo9L" w:hAnsi="NimbusRomNo9L" w:eastAsia="NimbusRomNo9L"/>
          <w:b/>
          <w:i w:val="0"/>
          <w:color w:val="000000"/>
          <w:sz w:val="40"/>
        </w:rPr>
        <w:t>DETECTION: A TEMPORAL EVALUATION</w:t>
      </w:r>
    </w:p>
    <w:p>
      <w:pPr>
        <w:autoSpaceDN w:val="0"/>
        <w:autoSpaceDE w:val="0"/>
        <w:widowControl/>
        <w:spacing w:line="240" w:lineRule="exact" w:before="138" w:after="0"/>
        <w:ind w:left="0" w:right="0" w:firstLine="0"/>
        <w:jc w:val="center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Author Name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*</w:t>
      </w:r>
    </w:p>
    <w:p>
      <w:pPr>
        <w:autoSpaceDN w:val="0"/>
        <w:autoSpaceDE w:val="0"/>
        <w:widowControl/>
        <w:spacing w:line="240" w:lineRule="exact" w:before="490" w:after="0"/>
        <w:ind w:left="0" w:right="0" w:firstLine="0"/>
        <w:jc w:val="center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September 4, 2026</w:t>
      </w:r>
    </w:p>
    <w:p>
      <w:pPr>
        <w:autoSpaceDN w:val="0"/>
        <w:autoSpaceDE w:val="0"/>
        <w:widowControl/>
        <w:spacing w:line="258" w:lineRule="exact" w:before="876" w:after="0"/>
        <w:ind w:left="342" w:right="0" w:firstLine="0"/>
        <w:jc w:val="left"/>
      </w:pPr>
      <w:r>
        <w:rPr>
          <w:rFonts w:ascii="NimbusRomNo9L" w:hAnsi="NimbusRomNo9L" w:eastAsia="NimbusRomNo9L"/>
          <w:b/>
          <w:i/>
          <w:color w:val="000000"/>
          <w:sz w:val="26"/>
        </w:rPr>
        <w:t>ABSTRACT</w:t>
      </w:r>
    </w:p>
    <w:p>
      <w:pPr>
        <w:autoSpaceDN w:val="0"/>
        <w:autoSpaceDE w:val="0"/>
        <w:widowControl/>
        <w:spacing w:line="240" w:lineRule="exact" w:before="104" w:after="0"/>
        <w:ind w:left="4" w:right="20" w:firstLine="338"/>
        <w:jc w:val="both"/>
      </w:pPr>
      <w:r>
        <w:rPr>
          <w:rFonts w:ascii="NimbusRomNo9L" w:hAnsi="NimbusRomNo9L" w:eastAsia="NimbusRomNo9L"/>
          <w:b w:val="0"/>
          <w:i/>
          <w:color w:val="000000"/>
          <w:sz w:val="20"/>
        </w:rPr>
        <w:t xml:space="preserve">Phishing detectors are almost universally evaluated with random train/test splits, which implicitly assume that 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a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URL’s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characteristics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are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exchangeable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across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time.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We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test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that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assumption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by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training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three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 xml:space="preserve">lexical-feature 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classifiers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(random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forest,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XGBoost,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logistic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regression)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on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180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days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of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PhishTank-reported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phishing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URLs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 xml:space="preserve">plus 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a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matched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sample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of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legitimate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domains,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and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evaluating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them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under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four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temporal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designs: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a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random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split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 xml:space="preserve">(the 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field’s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default),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training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on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earliest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block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and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testing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on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each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subsequent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block,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a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sliding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retraining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 xml:space="preserve">window, 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 xml:space="preserve">and cumulative retraining. All three models achieve F1 above 0.98 in every configuration, and the gap between the 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 xml:space="preserve">random-split baseline and the worst temporally-displaced block is small in absolute terms (0.36 to 0.92 percentage 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 xml:space="preserve">points of F1, model-dependent). A regression of F1 on temporal distance is significant when pooled across models, 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and its precision improves substantially once model-level baseline differences are controlled for (p</w:t>
      </w:r>
      <w:r>
        <w:rPr>
          <w:rFonts w:ascii="CMR10" w:hAnsi="CMR10" w:eastAsia="CMR10"/>
          <w:b w:val="0"/>
          <w:i w:val="0"/>
          <w:color w:val="000000"/>
          <w:sz w:val="20"/>
        </w:rPr>
        <w:t xml:space="preserve"> =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 0</w:t>
      </w:r>
      <w:r>
        <w:rPr>
          <w:rFonts w:ascii="CMMI10" w:hAnsi="CMMI10" w:eastAsia="CMMI10"/>
          <w:b w:val="0"/>
          <w:i/>
          <w:color w:val="000000"/>
          <w:sz w:val="20"/>
        </w:rPr>
        <w:t>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022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 xml:space="preserve"> naive, 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p</w:t>
      </w:r>
      <w:r>
        <w:rPr>
          <w:rFonts w:ascii="CMR10" w:hAnsi="CMR10" w:eastAsia="CMR10"/>
          <w:b w:val="0"/>
          <w:i w:val="0"/>
          <w:color w:val="000000"/>
          <w:sz w:val="20"/>
        </w:rPr>
        <w:t xml:space="preserve"> =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 0</w:t>
      </w:r>
      <w:r>
        <w:rPr>
          <w:rFonts w:ascii="CMMI10" w:hAnsi="CMMI10" w:eastAsia="CMMI10"/>
          <w:b w:val="0"/>
          <w:i/>
          <w:color w:val="000000"/>
          <w:sz w:val="20"/>
        </w:rPr>
        <w:t>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0048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 xml:space="preserve"> controlling for model as a fixed effect); a Page test for a monotonic decreasing trend across the three 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models as judges agrees (Z</w:t>
      </w:r>
      <w:r>
        <w:rPr>
          <w:rFonts w:ascii="CMR10" w:hAnsi="CMR10" w:eastAsia="CMR10"/>
          <w:b w:val="0"/>
          <w:i w:val="0"/>
          <w:color w:val="000000"/>
          <w:sz w:val="20"/>
        </w:rPr>
        <w:t xml:space="preserve"> =</w:t>
      </w:r>
      <w:r>
        <w:rPr>
          <w:rFonts w:ascii="CMSY10" w:hAnsi="CMSY10" w:eastAsia="CMSY10"/>
          <w:b w:val="0"/>
          <w:i/>
          <w:color w:val="000000"/>
          <w:sz w:val="20"/>
        </w:rPr>
        <w:t xml:space="preserve"> −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2</w:t>
      </w:r>
      <w:r>
        <w:rPr>
          <w:rFonts w:ascii="CMMI10" w:hAnsi="CMMI10" w:eastAsia="CMMI10"/>
          <w:b w:val="0"/>
          <w:i/>
          <w:color w:val="000000"/>
          <w:sz w:val="20"/>
        </w:rPr>
        <w:t>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66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,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p</w:t>
      </w:r>
      <w:r>
        <w:rPr>
          <w:rFonts w:ascii="CMR10" w:hAnsi="CMR10" w:eastAsia="CMR10"/>
          <w:b w:val="0"/>
          <w:i w:val="0"/>
          <w:color w:val="000000"/>
          <w:sz w:val="20"/>
        </w:rPr>
        <w:t xml:space="preserve"> =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 0</w:t>
      </w:r>
      <w:r>
        <w:rPr>
          <w:rFonts w:ascii="CMMI10" w:hAnsi="CMMI10" w:eastAsia="CMMI10"/>
          <w:b w:val="0"/>
          <w:i/>
          <w:color w:val="000000"/>
          <w:sz w:val="20"/>
        </w:rPr>
        <w:t>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004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 xml:space="preserve">). We argue the near-ceiling performance points partly to a design 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choice rather than a solved problem: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 xml:space="preserve">removing the four features most associated with how the legitimate class was 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constructed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(</w:t>
      </w:r>
      <w:r>
        <w:rPr>
          <w:rFonts w:ascii="NimbusMonL" w:hAnsi="NimbusMonL" w:eastAsia="NimbusMonL"/>
          <w:b w:val="0"/>
          <w:i/>
          <w:color w:val="000000"/>
          <w:sz w:val="20"/>
        </w:rPr>
        <w:t>is_https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,</w:t>
      </w:r>
      <w:r>
        <w:rPr>
          <w:rFonts w:ascii="NimbusMonL" w:hAnsi="NimbusMonL" w:eastAsia="NimbusMonL"/>
          <w:b w:val="0"/>
          <w:i/>
          <w:color w:val="000000"/>
          <w:sz w:val="20"/>
        </w:rPr>
        <w:t>path_length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,</w:t>
      </w:r>
      <w:r>
        <w:rPr>
          <w:rFonts w:ascii="NimbusMonL" w:hAnsi="NimbusMonL" w:eastAsia="NimbusMonL"/>
          <w:b w:val="0"/>
          <w:i/>
          <w:color w:val="000000"/>
          <w:sz w:val="20"/>
        </w:rPr>
        <w:t>num_slashes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,</w:t>
      </w:r>
      <w:r>
        <w:rPr>
          <w:rFonts w:ascii="NimbusMonL" w:hAnsi="NimbusMonL" w:eastAsia="NimbusMonL"/>
          <w:b w:val="0"/>
          <w:i/>
          <w:color w:val="000000"/>
          <w:sz w:val="20"/>
        </w:rPr>
        <w:t>url_length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)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drops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F1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by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3.3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to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4.1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 xml:space="preserve">percentage 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points across models,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 xml:space="preserve">confirming that the choice of negative class (well-established top-ranked domains) inflates 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the reported ceiling; the four ablated features are not the sole source of the near-ceiling result, though the remain-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 xml:space="preserve">ing features may still encode the same domain-versus-full-URL asymmetry; a negative class of full legitimate URLs 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would be needed to settle this.</w:t>
      </w:r>
    </w:p>
    <w:p>
      <w:pPr>
        <w:autoSpaceDN w:val="0"/>
        <w:autoSpaceDE w:val="0"/>
        <w:widowControl/>
        <w:spacing w:line="260" w:lineRule="exact" w:before="234" w:after="0"/>
        <w:ind w:left="342" w:right="0" w:firstLine="0"/>
        <w:jc w:val="left"/>
      </w:pPr>
      <w:r>
        <w:rPr>
          <w:rFonts w:ascii="NimbusRomNo9L" w:hAnsi="NimbusRomNo9L" w:eastAsia="NimbusRomNo9L"/>
          <w:b/>
          <w:i/>
          <w:color w:val="000000"/>
          <w:sz w:val="26"/>
        </w:rPr>
        <w:t>KEYWORDS</w:t>
      </w:r>
    </w:p>
    <w:p>
      <w:pPr>
        <w:autoSpaceDN w:val="0"/>
        <w:tabs>
          <w:tab w:pos="342" w:val="left"/>
        </w:tabs>
        <w:autoSpaceDE w:val="0"/>
        <w:widowControl/>
        <w:spacing w:line="238" w:lineRule="exact" w:before="224" w:after="0"/>
        <w:ind w:left="4" w:right="0" w:firstLine="0"/>
        <w:jc w:val="left"/>
      </w:pPr>
      <w:r>
        <w:tab/>
      </w:r>
      <w:r>
        <w:rPr>
          <w:rFonts w:ascii="NimbusRomNo9L" w:hAnsi="NimbusRomNo9L" w:eastAsia="NimbusRomNo9L"/>
          <w:b w:val="0"/>
          <w:i/>
          <w:color w:val="000000"/>
          <w:sz w:val="20"/>
        </w:rPr>
        <w:t>Phishing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detection,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Concept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drift,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Temporal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evaluation,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Adversarial machine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learning,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Lexical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features,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Cy-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bersecurity.</w:t>
      </w:r>
    </w:p>
    <w:p>
      <w:pPr>
        <w:autoSpaceDN w:val="0"/>
        <w:autoSpaceDE w:val="0"/>
        <w:widowControl/>
        <w:spacing w:line="286" w:lineRule="exact" w:before="580" w:after="0"/>
        <w:ind w:left="4" w:right="0" w:firstLine="0"/>
        <w:jc w:val="left"/>
      </w:pP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1 INTRODUCTION</w:t>
      </w:r>
    </w:p>
    <w:p>
      <w:pPr>
        <w:autoSpaceDN w:val="0"/>
        <w:autoSpaceDE w:val="0"/>
        <w:widowControl/>
        <w:spacing w:line="240" w:lineRule="exact" w:before="340" w:after="0"/>
        <w:ind w:left="4" w:right="20" w:firstLine="338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>Phishing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adversarial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instance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of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broader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concept-drift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problem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machine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learning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[1]: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attackers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change URL patterns, hosting infrastructure, and lexical tricks specifically to evade whatever a detector has already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learned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to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flag.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classifier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trained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evaluated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with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single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random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train/test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split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treats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every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URL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the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dataset as drawn from one stationary distribution, which is precisely the assumption an adversarial, evolving threat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violates. If that assumption is wrong,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published accuracy figures based on random splits systematically overstate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what a detector will achieve once deployed against future, unseen phishing campaigns.</w:t>
      </w:r>
    </w:p>
    <w:p>
      <w:pPr>
        <w:autoSpaceDN w:val="0"/>
        <w:autoSpaceDE w:val="0"/>
        <w:widowControl/>
        <w:spacing w:line="240" w:lineRule="exact" w:before="238" w:after="0"/>
        <w:ind w:left="4" w:right="20" w:firstLine="338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This paper asks how much that gap actually is, using a temporal evaluation design rather than a random one,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compares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two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common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mitigation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strategies,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periodic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retraining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with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sliding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window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versus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cumulative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retraining that keeps all historical examples, to see whether either meaningfully closes it. We evaluate on 180 days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of continuously reported phishing URLs, which lets us construct genuinely time-ordered evaluation blocks rather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than simulating drift artificially.</w:t>
      </w:r>
    </w:p>
    <w:p>
      <w:pPr>
        <w:autoSpaceDN w:val="0"/>
        <w:autoSpaceDE w:val="0"/>
        <w:widowControl/>
        <w:spacing w:line="240" w:lineRule="exact" w:before="238" w:after="0"/>
        <w:ind w:left="4" w:right="20" w:firstLine="338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contributions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of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this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work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are: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(1)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temporal,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block-based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evaluation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of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lexical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phishing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classifiers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on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real, timestamped data, contrasted directly against the random-split baseline the field defaults to; (2) a statistically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defensible estimate of the degradation trend’s significance, using an ANCOVA specification that separates within-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model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drift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from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between-model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baseline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differences,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alongside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specification-free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Page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test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cross-check;</w:t>
      </w:r>
    </w:p>
    <w:p>
      <w:pPr>
        <w:autoSpaceDN w:val="0"/>
        <w:autoSpaceDE w:val="0"/>
        <w:widowControl/>
        <w:spacing w:line="184" w:lineRule="exact" w:before="264" w:after="0"/>
        <w:ind w:left="246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14"/>
        </w:rPr>
        <w:t>*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Author Name is with the Department of Informatics, Institution Name, City, Country. E-mail: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author@email.edu</w:t>
      </w:r>
    </w:p>
    <w:p>
      <w:pPr>
        <w:autoSpaceDN w:val="0"/>
        <w:autoSpaceDE w:val="0"/>
        <w:widowControl/>
        <w:spacing w:line="218" w:lineRule="exact" w:before="388" w:after="0"/>
        <w:ind w:left="0" w:right="0" w:firstLine="0"/>
        <w:jc w:val="center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1</w:t>
      </w:r>
    </w:p>
    <w:p>
      <w:pPr>
        <w:sectPr>
          <w:pgSz w:w="11909" w:h="16834"/>
          <w:pgMar w:top="934" w:right="1390" w:bottom="100" w:left="14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14"/>
        <w:ind w:left="0" w:right="0"/>
      </w:pPr>
    </w:p>
    <w:p>
      <w:pPr>
        <w:autoSpaceDN w:val="0"/>
        <w:autoSpaceDE w:val="0"/>
        <w:widowControl/>
        <w:spacing w:line="218" w:lineRule="exact" w:before="0" w:after="0"/>
        <w:ind w:left="0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2</w:t>
      </w:r>
      <w:r>
        <w:rPr>
          <w:rFonts w:ascii="NimbusRomNo9L" w:hAnsi="NimbusRomNo9L" w:eastAsia="NimbusRomNo9L"/>
          <w:b w:val="0"/>
          <w:i w:val="0"/>
          <w:color w:val="000000"/>
          <w:sz w:val="16"/>
        </w:rPr>
        <w:t xml:space="preserve"> "Concept Drift in URL-Based Phishing Detection: A Temporal Evaluation", Author Name.</w:t>
      </w:r>
    </w:p>
    <w:p>
      <w:pPr>
        <w:autoSpaceDN w:val="0"/>
        <w:autoSpaceDE w:val="0"/>
        <w:widowControl/>
        <w:spacing w:line="240" w:lineRule="exact" w:before="554" w:after="0"/>
        <w:ind w:left="0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(3) a mechanistic account, grounded in feature-distribution and feature-importance evidence rather than aggregate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metrics alone, of why the measured degradation is small: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 easy negative class, not a solved drift problem.</w:t>
      </w:r>
    </w:p>
    <w:p>
      <w:pPr>
        <w:autoSpaceDN w:val="0"/>
        <w:autoSpaceDE w:val="0"/>
        <w:widowControl/>
        <w:spacing w:line="286" w:lineRule="exact" w:before="576" w:after="0"/>
        <w:ind w:left="0" w:right="0" w:firstLine="0"/>
        <w:jc w:val="left"/>
      </w:pP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2 RELATED WORK</w:t>
      </w:r>
    </w:p>
    <w:p>
      <w:pPr>
        <w:autoSpaceDN w:val="0"/>
        <w:autoSpaceDE w:val="0"/>
        <w:widowControl/>
        <w:spacing w:line="240" w:lineRule="exact" w:before="340" w:after="0"/>
        <w:ind w:left="0" w:right="130" w:firstLine="338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Odeh et al. [2] propose PhiBoost, an adaptive-boosting phishing detector built on lexical and host-based URL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features,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report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strong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within-distribution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accuracy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using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conventional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held-out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test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split,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exactly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eval-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uation protocol this paper argues is insufficient on its own,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since it cannot distinguish a detector that has learned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durable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phishing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indicators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from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one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that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has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overfit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to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particular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campaigns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present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training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window.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Sahingoz et al. [3] benchmark seven classifiers (including Random Forest, the best-performing model in both their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study and ours) on a mixed lexical-and-content feature set, and likewise report F1 scores above 0.97 using a stan-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dard random 80/20 split; their feature set and evaluation setup are directly comparable to ours, making the temporal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gap we identify a direct reinterpretation of their baseline rather than a critique of the specific classifier choice. Al-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slman et al. [4] evaluate ensemble models (the same broad model family we use here) for DDoS attack detection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at scale using Spark,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and,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like most applied network-security classification work,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do not examine whether detec-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tion performance is stable as the underlying attack traffic evolves over time; our temporal-block design is directly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applicable to that setting as well, and we frame our contribution partly as a methodological recommendation that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extends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beyond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phishing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specifically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to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security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classification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tasks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built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adversarial,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time-varying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data.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Fur-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thermore, in a systematic survey within this journal’s scope, Ashi et al. [5] examine supervised machine-learning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classifiers and dimensionality reduction techniques for network intrusion detection, underscoring that benchmarked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detection performance is critically sensitive to feature choice and evaluation rigor; our study directly extends that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methodological perspective by investigating how temporal drift affects lexical feature stability under longitudinal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deployment.</w:t>
      </w:r>
    </w:p>
    <w:p>
      <w:pPr>
        <w:autoSpaceDN w:val="0"/>
        <w:autoSpaceDE w:val="0"/>
        <w:widowControl/>
        <w:spacing w:line="240" w:lineRule="exact" w:before="238" w:after="0"/>
        <w:ind w:left="0" w:right="130" w:firstLine="338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This concern is not new to security classification in general: Pendlebury et al. [6] name and formalize the same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failure mode for malware classifiers under the label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 xml:space="preserve"> temporal bias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, showing that a naive random train/test split can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silently mix future and past samples and thereby overstate real-world performance, and propose constraints (train-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ing strictly on past data, realistic class-ratio testing) that our fixed, sliding-window, and cumulative designs already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satisfy by construction; we are not aware of a comparable temporal-bias analysis having been applied to phishing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URL classification specifically,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which is the gap this paper addresses. Jemili et al. [7] extend this line of work to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network intrusion detection, showing that a classifier that combines online concept-drift detection with incremental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retraining substantially narrows the performance gap between static and adaptive systems;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their empirical design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confirms that drift is real and measurable in security-relevant classification streams,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but they do not study lexical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URL features or control for the contribution of class-boundary difficulty to the observed gap, which is the mecha-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nistic question we pursue here. Apruzzese et al. [8] survey the gap between adversarial machine-learning research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operational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practice,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arguing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that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real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attackers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rarely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employ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gradient-based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perturbations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most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studied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literature,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that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threat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models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implicit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random-split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evaluations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are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therefore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doubly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unrealistic: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both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time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ordering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assumed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adversarial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capability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depart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from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deployment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conditions.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take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that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observation as additional motivation for a design that at least corrects the temporal dimension, even if it does not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resolve the adversarial-realism dimension.</w:t>
      </w:r>
    </w:p>
    <w:p>
      <w:pPr>
        <w:autoSpaceDN w:val="0"/>
        <w:autoSpaceDE w:val="0"/>
        <w:widowControl/>
        <w:spacing w:line="240" w:lineRule="exact" w:before="238" w:after="0"/>
        <w:ind w:left="0" w:right="130" w:firstLine="338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challenge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of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concept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drift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cyber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security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classification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documented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survey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level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Buczak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and Guven [9], who review over 50 machine-learning methods for intrusion detection and identify temporal non-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stationarity as one of five core challenges for production deployment, alongside class imbalance, feature selection,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computational cost,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and the scarcity of labeled attack data. Critically,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they find that no single study among those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reviewed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addresses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all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five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simultaneously,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that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temporal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drift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particular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usually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handled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implicitly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(by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retraining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from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scratch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new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data)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rather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than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principled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comparison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of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retraining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strategies.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Our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study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contributes precisely that comparison for the phishing-URL domain, testing fixed, sliding-window, and cumulative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retraining under controlled temporal separation. Varshney, Misra and Atrey [10] provide a complementary survey-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level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taxonomy,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classifying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phishing-detection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schemes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feature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type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(visual,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lexical,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content-based,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network-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based);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our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study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operates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exclusively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within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their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“lexical”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category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designed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to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answer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question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their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survey identifies but does not resolve empirically: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whether lexical-only detectors maintain their reported accuracy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as the phishing campaign population evolves over time.</w:t>
      </w:r>
    </w:p>
    <w:p>
      <w:pPr>
        <w:autoSpaceDN w:val="0"/>
        <w:autoSpaceDE w:val="0"/>
        <w:widowControl/>
        <w:spacing w:line="240" w:lineRule="exact" w:before="238" w:after="0"/>
        <w:ind w:left="0" w:right="0" w:firstLine="338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 feature-engineering and modelling approaches evaluated in this paper have direct precedents in the phishing-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detection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literature.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Mohammad,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Thabtah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McCluskey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[11]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introduce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intelligent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rule-based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classifier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for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phishing websites using URL and page-level features, and in a companion study [12] apply self-structuring neural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networks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to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same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feature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family;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both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report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high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accuracy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under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conventional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random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splits,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making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their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baseline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directly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comparable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to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random-split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condition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our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temporal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design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therefore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subject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to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</w:p>
    <w:p>
      <w:pPr>
        <w:sectPr>
          <w:pgSz w:w="11909" w:h="16834"/>
          <w:pgMar w:top="332" w:right="1280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p>
      <w:pPr>
        <w:autoSpaceDN w:val="0"/>
        <w:autoSpaceDE w:val="0"/>
        <w:widowControl/>
        <w:spacing w:line="160" w:lineRule="exact" w:before="0" w:after="0"/>
        <w:ind w:left="0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16"/>
        </w:rPr>
        <w:t>Jordanian Journal of Computers and Information Technology (JJCIT), Vol. 12, No. X, 2026.</w:t>
      </w:r>
    </w:p>
    <w:p>
      <w:pPr>
        <w:autoSpaceDN w:val="0"/>
        <w:autoSpaceDE w:val="0"/>
        <w:widowControl/>
        <w:spacing w:line="240" w:lineRule="exact" w:before="568" w:after="0"/>
        <w:ind w:left="0" w:right="20" w:firstLine="0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>same temporal-bias concern that Pendlebury et al. [6] formalize for malware and that we quantify here for phish-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ing. Singh and Meenu [13] survey recent machine-learning approaches to phishing-URL detection and document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that the standard evaluation protocol in the recent literature remains the random train/test split,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with no temporal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separation between training and evaluation data, exactly the methodological gap this paper addresses. Somesha et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al. [14] apply CNN and LSTM architectures to URL-based phishing detection and find that deep learning does not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consistently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outperform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Random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Forest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when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both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use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comparable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lexical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features,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result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consistent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with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our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own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finding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that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Random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Forest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best-performing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model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across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all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four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temporal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designs.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Hannousse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and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Yahiouche [15] construct and evaluate benchmark datasets for ML-based phishing detection and show that dataset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composition,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particularly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choice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of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negative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class,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systematically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affects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reported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metrics,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finding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directly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aligned with our observation that the Tranco-derived legitimate class inflates the detection ceiling by 3.3 to 4.1 F1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points (Results, Table 4).</w:t>
      </w:r>
    </w:p>
    <w:p>
      <w:pPr>
        <w:autoSpaceDN w:val="0"/>
        <w:autoSpaceDE w:val="0"/>
        <w:widowControl/>
        <w:spacing w:line="286" w:lineRule="exact" w:before="614" w:after="0"/>
        <w:ind w:left="0" w:right="0" w:firstLine="0"/>
        <w:jc w:val="left"/>
      </w:pP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3 METHODOLOGY</w:t>
      </w:r>
    </w:p>
    <w:p>
      <w:pPr>
        <w:autoSpaceDN w:val="0"/>
        <w:autoSpaceDE w:val="0"/>
        <w:widowControl/>
        <w:spacing w:line="240" w:lineRule="exact" w:before="388" w:after="0"/>
        <w:ind w:left="0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4"/>
        </w:rPr>
        <w:t>3.1 Data</w:t>
      </w:r>
    </w:p>
    <w:p>
      <w:pPr>
        <w:autoSpaceDN w:val="0"/>
        <w:autoSpaceDE w:val="0"/>
        <w:widowControl/>
        <w:spacing w:line="240" w:lineRule="exact" w:before="350" w:after="0"/>
        <w:ind w:left="0" w:right="20" w:firstLine="338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>Phishing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URLs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were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drawn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from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PhishTank’s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public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feed,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which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only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phishing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source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found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that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ships a reliable, unauthenticated</w:t>
      </w:r>
      <w:r>
        <w:rPr>
          <w:rFonts w:ascii="NimbusMonL" w:hAnsi="NimbusMonL" w:eastAsia="NimbusMonL"/>
          <w:b w:val="0"/>
          <w:i w:val="0"/>
          <w:color w:val="000000"/>
          <w:sz w:val="20"/>
        </w:rPr>
        <w:t xml:space="preserve"> submission_time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 timestamp per URL (OpenPhish’s community feed and the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static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UCI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Phishing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Websites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/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PhiUSIIL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datasets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do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not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carry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comparable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per-record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date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were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excluded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from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this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design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for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that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reason).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retained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most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recent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180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days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(29,299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URLs),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earliest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weeks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of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full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historical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feed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having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too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few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reports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per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week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to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support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balanced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temporal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blocks.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Legitimate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URLs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were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sampled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from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Tranco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top-1M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list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[16],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chosen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over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alternatives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such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(now-discontinued)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Alexa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ranking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because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Tranco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specifically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designed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to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resist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list-manipulation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attacks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that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make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raw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popularity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rankings an unreliable ground truth for security research. Because Tranco is a single ranked snapshot rather than a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dated feed, each sampled legitimate URL was assigned a synthetic timestamp drawn uniformly over the same 180-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day window as the phishing data, a deliberate simplification justified because domain reputation for an established,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highly ranked site does not meaningfully change on a 180-day horizon, in contrast to phishing infrastructure, which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exactly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what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this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study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measures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changing.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final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dataset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balanced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construction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(29,299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phishing,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29,299 legitimate).</w:t>
      </w:r>
    </w:p>
    <w:p>
      <w:pPr>
        <w:autoSpaceDN w:val="0"/>
        <w:autoSpaceDE w:val="0"/>
        <w:widowControl/>
        <w:spacing w:line="240" w:lineRule="exact" w:before="540" w:after="0"/>
        <w:ind w:left="0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4"/>
        </w:rPr>
        <w:t>3.2 Features</w:t>
      </w:r>
    </w:p>
    <w:p>
      <w:pPr>
        <w:autoSpaceDN w:val="0"/>
        <w:autoSpaceDE w:val="0"/>
        <w:widowControl/>
        <w:spacing w:line="238" w:lineRule="exact" w:before="352" w:after="0"/>
        <w:ind w:left="0" w:right="20" w:firstLine="338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We extract 32 lexical features per URL requiring no live network access (URL/hostname/path length, counts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of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dots/hyphens/digits/special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characters,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subdomain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count,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IP-literal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hostname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flag,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presence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of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known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URL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shortener, Shannon entropy of the URL and hostname strings, a count of phishing-associated keywords, and related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structural features). Table 1 lists all 32 with their definitions.</w:t>
      </w:r>
    </w:p>
    <w:p>
      <w:pPr>
        <w:autoSpaceDN w:val="0"/>
        <w:autoSpaceDE w:val="0"/>
        <w:widowControl/>
        <w:spacing w:line="240" w:lineRule="exact" w:before="540" w:after="0"/>
        <w:ind w:left="0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4"/>
        </w:rPr>
        <w:t>3.3 Temporal evaluation designs</w:t>
      </w:r>
    </w:p>
    <w:p>
      <w:pPr>
        <w:autoSpaceDN w:val="0"/>
        <w:autoSpaceDE w:val="0"/>
        <w:widowControl/>
        <w:spacing w:line="238" w:lineRule="exact" w:before="352" w:after="0"/>
        <w:ind w:left="0" w:right="20" w:firstLine="338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>Data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were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sorted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timestamp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divided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into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six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equal-sized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blocks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sample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count.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evaluate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four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designs: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(i)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random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80/20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random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split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ignoring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time,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baseline;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(ii)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fixed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training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once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block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1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and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evaluating separately on blocks 2 through 6, to isolate pure degradation with distance; (iii)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 xml:space="preserve"> sliding window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, training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on block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 xml:space="preserve"> k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 and evaluating on block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 xml:space="preserve"> k</w:t>
      </w:r>
      <w:r>
        <w:rPr>
          <w:rFonts w:ascii="CMR10" w:hAnsi="CMR10" w:eastAsia="CMR10"/>
          <w:b w:val="0"/>
          <w:i w:val="0"/>
          <w:color w:val="000000"/>
          <w:sz w:val="20"/>
        </w:rPr>
        <w:t>+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1 for each consecutive pair, simulating periodic retraining on only the most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recent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data;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(iv)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cumulative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training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blocks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1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through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k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evaluating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block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k</w:t>
      </w:r>
      <w:r>
        <w:rPr>
          <w:rFonts w:ascii="CMR10" w:hAnsi="CMR10" w:eastAsia="CMR10"/>
          <w:b w:val="0"/>
          <w:i w:val="0"/>
          <w:color w:val="000000"/>
          <w:sz w:val="20"/>
        </w:rPr>
        <w:t xml:space="preserve"> +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 1,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simulating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retraining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that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keeps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full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history.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All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models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(random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forest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[17],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XGBoost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[18],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logistic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regression)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share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identical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standardized features across designs.</w:t>
      </w:r>
    </w:p>
    <w:p>
      <w:pPr>
        <w:autoSpaceDN w:val="0"/>
        <w:autoSpaceDE w:val="0"/>
        <w:widowControl/>
        <w:spacing w:line="238" w:lineRule="exact" w:before="540" w:after="0"/>
        <w:ind w:left="0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4"/>
        </w:rPr>
        <w:t>3.4 Statistical analysis</w:t>
      </w:r>
    </w:p>
    <w:p>
      <w:pPr>
        <w:autoSpaceDN w:val="0"/>
        <w:autoSpaceDE w:val="0"/>
        <w:widowControl/>
        <w:spacing w:line="240" w:lineRule="exact" w:before="350" w:after="0"/>
        <w:ind w:left="0" w:right="20" w:firstLine="338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We regress F1 on temporal distance for the fixed design, per model, pooled naively across models, and pooled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with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model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fixed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effect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(ANCOVA:</w:t>
      </w:r>
      <w:r>
        <w:rPr>
          <w:rFonts w:ascii="NimbusMonL" w:hAnsi="NimbusMonL" w:eastAsia="NimbusMonL"/>
          <w:b w:val="0"/>
          <w:i w:val="0"/>
          <w:color w:val="000000"/>
          <w:sz w:val="20"/>
        </w:rPr>
        <w:t>f1</w:t>
      </w:r>
      <w:r>
        <w:rPr>
          <w:rFonts w:ascii="NimbusMonL" w:hAnsi="NimbusMonL" w:eastAsia="NimbusMonL"/>
          <w:b w:val="0"/>
          <w:i w:val="0"/>
          <w:color w:val="000000"/>
          <w:sz w:val="20"/>
        </w:rPr>
        <w:t>~</w:t>
      </w:r>
      <w:r>
        <w:rPr>
          <w:rFonts w:ascii="NimbusMonL" w:hAnsi="NimbusMonL" w:eastAsia="NimbusMonL"/>
          <w:b w:val="0"/>
          <w:i w:val="0"/>
          <w:color w:val="000000"/>
          <w:sz w:val="20"/>
        </w:rPr>
        <w:t>distance</w:t>
      </w:r>
      <w:r>
        <w:rPr>
          <w:rFonts w:ascii="NimbusMonL" w:hAnsi="NimbusMonL" w:eastAsia="NimbusMonL"/>
          <w:b w:val="0"/>
          <w:i w:val="0"/>
          <w:color w:val="000000"/>
          <w:sz w:val="20"/>
        </w:rPr>
        <w:t>+</w:t>
      </w:r>
      <w:r>
        <w:rPr>
          <w:rFonts w:ascii="NimbusMonL" w:hAnsi="NimbusMonL" w:eastAsia="NimbusMonL"/>
          <w:b w:val="0"/>
          <w:i w:val="0"/>
          <w:color w:val="000000"/>
          <w:sz w:val="20"/>
        </w:rPr>
        <w:t>model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)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to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separate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within-model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trend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with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distance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from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large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between-model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differences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baseline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F1,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which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naive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pooled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regression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otherwise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folds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into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its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residual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variance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thereby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understates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trend’s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significance.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Because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linear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regression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with</w:t>
      </w:r>
    </w:p>
    <w:p>
      <w:pPr>
        <w:sectPr>
          <w:pgSz w:w="11909" w:h="16834"/>
          <w:pgMar w:top="356" w:right="1390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14"/>
        <w:ind w:left="0" w:right="0"/>
      </w:pPr>
    </w:p>
    <w:p>
      <w:pPr>
        <w:autoSpaceDN w:val="0"/>
        <w:autoSpaceDE w:val="0"/>
        <w:widowControl/>
        <w:spacing w:line="218" w:lineRule="exact" w:before="0" w:after="0"/>
        <w:ind w:left="0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4</w:t>
      </w:r>
      <w:r>
        <w:rPr>
          <w:rFonts w:ascii="NimbusRomNo9L" w:hAnsi="NimbusRomNo9L" w:eastAsia="NimbusRomNo9L"/>
          <w:b w:val="0"/>
          <w:i w:val="0"/>
          <w:color w:val="000000"/>
          <w:sz w:val="16"/>
        </w:rPr>
        <w:t xml:space="preserve"> "Concept Drift in URL-Based Phishing Detection: A Temporal Evaluation", Author Name.</w:t>
      </w:r>
    </w:p>
    <w:p>
      <w:pPr>
        <w:autoSpaceDN w:val="0"/>
        <w:autoSpaceDE w:val="0"/>
        <w:widowControl/>
        <w:spacing w:line="218" w:lineRule="exact" w:before="552" w:after="228"/>
        <w:ind w:left="0" w:right="0" w:firstLine="0"/>
        <w:jc w:val="center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Table 1. Lexical features extracted per URL.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32.0000000000002" w:type="dxa"/>
      </w:tblPr>
      <w:tblGrid>
        <w:gridCol w:w="4553"/>
        <w:gridCol w:w="4553"/>
      </w:tblGrid>
      <w:tr>
        <w:trPr>
          <w:trHeight w:hRule="exact" w:val="332"/>
        </w:trPr>
        <w:tc>
          <w:tcPr>
            <w:tcW w:type="dxa" w:w="2496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0" w:after="0"/>
              <w:ind w:left="12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Feature</w:t>
            </w:r>
          </w:p>
        </w:tc>
        <w:tc>
          <w:tcPr>
            <w:tcW w:type="dxa" w:w="5124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0" w:after="0"/>
              <w:ind w:left="454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Definition</w:t>
            </w:r>
          </w:p>
        </w:tc>
      </w:tr>
      <w:tr>
        <w:trPr>
          <w:trHeight w:hRule="exact" w:val="4626"/>
        </w:trPr>
        <w:tc>
          <w:tcPr>
            <w:tcW w:type="dxa" w:w="2496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8" w:after="0"/>
              <w:ind w:left="128" w:right="432" w:firstLine="0"/>
              <w:jc w:val="left"/>
            </w:pPr>
            <w:r>
              <w:rPr>
                <w:rFonts w:ascii="NimbusMonL" w:hAnsi="NimbusMonL" w:eastAsia="NimbusMonL"/>
                <w:b w:val="0"/>
                <w:i w:val="0"/>
                <w:color w:val="000000"/>
                <w:sz w:val="18"/>
              </w:rPr>
              <w:t xml:space="preserve">url_length </w:t>
            </w:r>
            <w:r>
              <w:br/>
            </w:r>
            <w:r>
              <w:rPr>
                <w:rFonts w:ascii="NimbusMonL" w:hAnsi="NimbusMonL" w:eastAsia="NimbusMonL"/>
                <w:b w:val="0"/>
                <w:i w:val="0"/>
                <w:color w:val="000000"/>
                <w:sz w:val="18"/>
              </w:rPr>
              <w:t xml:space="preserve">hostname_length </w:t>
            </w:r>
            <w:r>
              <w:br/>
            </w:r>
            <w:r>
              <w:rPr>
                <w:rFonts w:ascii="NimbusMonL" w:hAnsi="NimbusMonL" w:eastAsia="NimbusMonL"/>
                <w:b w:val="0"/>
                <w:i w:val="0"/>
                <w:color w:val="000000"/>
                <w:sz w:val="18"/>
              </w:rPr>
              <w:t xml:space="preserve">path_length </w:t>
            </w:r>
            <w:r>
              <w:br/>
            </w:r>
            <w:r>
              <w:rPr>
                <w:rFonts w:ascii="NimbusMonL" w:hAnsi="NimbusMonL" w:eastAsia="NimbusMonL"/>
                <w:b w:val="0"/>
                <w:i w:val="0"/>
                <w:color w:val="000000"/>
                <w:sz w:val="18"/>
              </w:rPr>
              <w:t xml:space="preserve">num_dots </w:t>
            </w:r>
            <w:r>
              <w:br/>
            </w:r>
            <w:r>
              <w:rPr>
                <w:rFonts w:ascii="NimbusMonL" w:hAnsi="NimbusMonL" w:eastAsia="NimbusMonL"/>
                <w:b w:val="0"/>
                <w:i w:val="0"/>
                <w:color w:val="000000"/>
                <w:sz w:val="18"/>
              </w:rPr>
              <w:t xml:space="preserve">num_hyphens </w:t>
            </w:r>
            <w:r>
              <w:br/>
            </w:r>
            <w:r>
              <w:rPr>
                <w:rFonts w:ascii="NimbusMonL" w:hAnsi="NimbusMonL" w:eastAsia="NimbusMonL"/>
                <w:b w:val="0"/>
                <w:i w:val="0"/>
                <w:color w:val="000000"/>
                <w:sz w:val="18"/>
              </w:rPr>
              <w:t xml:space="preserve">num_underscores </w:t>
            </w:r>
            <w:r>
              <w:br/>
            </w:r>
            <w:r>
              <w:rPr>
                <w:rFonts w:ascii="NimbusMonL" w:hAnsi="NimbusMonL" w:eastAsia="NimbusMonL"/>
                <w:b w:val="0"/>
                <w:i w:val="0"/>
                <w:color w:val="000000"/>
                <w:sz w:val="18"/>
              </w:rPr>
              <w:t xml:space="preserve">num_slashes </w:t>
            </w:r>
            <w:r>
              <w:br/>
            </w:r>
            <w:r>
              <w:rPr>
                <w:rFonts w:ascii="NimbusMonL" w:hAnsi="NimbusMonL" w:eastAsia="NimbusMonL"/>
                <w:b w:val="0"/>
                <w:i w:val="0"/>
                <w:color w:val="000000"/>
                <w:sz w:val="18"/>
              </w:rPr>
              <w:t xml:space="preserve">num_question_marks </w:t>
            </w:r>
            <w:r>
              <w:rPr>
                <w:rFonts w:ascii="NimbusMonL" w:hAnsi="NimbusMonL" w:eastAsia="NimbusMonL"/>
                <w:b w:val="0"/>
                <w:i w:val="0"/>
                <w:color w:val="000000"/>
                <w:sz w:val="18"/>
              </w:rPr>
              <w:t xml:space="preserve">num_equals </w:t>
            </w:r>
            <w:r>
              <w:br/>
            </w:r>
            <w:r>
              <w:rPr>
                <w:rFonts w:ascii="NimbusMonL" w:hAnsi="NimbusMonL" w:eastAsia="NimbusMonL"/>
                <w:b w:val="0"/>
                <w:i w:val="0"/>
                <w:color w:val="000000"/>
                <w:sz w:val="18"/>
              </w:rPr>
              <w:t xml:space="preserve">num_at </w:t>
            </w:r>
            <w:r>
              <w:br/>
            </w:r>
            <w:r>
              <w:rPr>
                <w:rFonts w:ascii="NimbusMonL" w:hAnsi="NimbusMonL" w:eastAsia="NimbusMonL"/>
                <w:b w:val="0"/>
                <w:i w:val="0"/>
                <w:color w:val="000000"/>
                <w:sz w:val="18"/>
              </w:rPr>
              <w:t xml:space="preserve">num_ampersands </w:t>
            </w:r>
            <w:r>
              <w:br/>
            </w:r>
            <w:r>
              <w:rPr>
                <w:rFonts w:ascii="NimbusMonL" w:hAnsi="NimbusMonL" w:eastAsia="NimbusMonL"/>
                <w:b w:val="0"/>
                <w:i w:val="0"/>
                <w:color w:val="000000"/>
                <w:sz w:val="18"/>
              </w:rPr>
              <w:t xml:space="preserve">num_percent </w:t>
            </w:r>
            <w:r>
              <w:br/>
            </w:r>
            <w:r>
              <w:rPr>
                <w:rFonts w:ascii="NimbusMonL" w:hAnsi="NimbusMonL" w:eastAsia="NimbusMonL"/>
                <w:b w:val="0"/>
                <w:i w:val="0"/>
                <w:color w:val="000000"/>
                <w:sz w:val="18"/>
              </w:rPr>
              <w:t xml:space="preserve">num_digits </w:t>
            </w:r>
            <w:r>
              <w:br/>
            </w:r>
            <w:r>
              <w:rPr>
                <w:rFonts w:ascii="NimbusMonL" w:hAnsi="NimbusMonL" w:eastAsia="NimbusMonL"/>
                <w:b w:val="0"/>
                <w:i w:val="0"/>
                <w:color w:val="000000"/>
                <w:sz w:val="18"/>
              </w:rPr>
              <w:t xml:space="preserve">digit_ratio </w:t>
            </w:r>
            <w:r>
              <w:br/>
            </w:r>
            <w:r>
              <w:rPr>
                <w:rFonts w:ascii="NimbusMonL" w:hAnsi="NimbusMonL" w:eastAsia="NimbusMonL"/>
                <w:b w:val="0"/>
                <w:i w:val="0"/>
                <w:color w:val="000000"/>
                <w:sz w:val="18"/>
              </w:rPr>
              <w:t xml:space="preserve">num_subdomains </w:t>
            </w:r>
            <w:r>
              <w:br/>
            </w:r>
            <w:r>
              <w:rPr>
                <w:rFonts w:ascii="NimbusMonL" w:hAnsi="NimbusMonL" w:eastAsia="NimbusMonL"/>
                <w:b w:val="0"/>
                <w:i w:val="0"/>
                <w:color w:val="000000"/>
                <w:sz w:val="18"/>
              </w:rPr>
              <w:t xml:space="preserve">has_ip_address </w:t>
            </w:r>
            <w:r>
              <w:br/>
            </w:r>
            <w:r>
              <w:rPr>
                <w:rFonts w:ascii="NimbusMonL" w:hAnsi="NimbusMonL" w:eastAsia="NimbusMonL"/>
                <w:b w:val="0"/>
                <w:i w:val="0"/>
                <w:color w:val="000000"/>
                <w:sz w:val="18"/>
              </w:rPr>
              <w:t xml:space="preserve">has_port </w:t>
            </w:r>
            <w:r>
              <w:br/>
            </w:r>
            <w:r>
              <w:rPr>
                <w:rFonts w:ascii="NimbusMonL" w:hAnsi="NimbusMonL" w:eastAsia="NimbusMonL"/>
                <w:b w:val="0"/>
                <w:i w:val="0"/>
                <w:color w:val="000000"/>
                <w:sz w:val="18"/>
              </w:rPr>
              <w:t xml:space="preserve">is_https </w:t>
            </w:r>
            <w:r>
              <w:br/>
            </w:r>
            <w:r>
              <w:rPr>
                <w:rFonts w:ascii="NimbusMonL" w:hAnsi="NimbusMonL" w:eastAsia="NimbusMonL"/>
                <w:b w:val="0"/>
                <w:i w:val="0"/>
                <w:color w:val="000000"/>
                <w:sz w:val="18"/>
              </w:rPr>
              <w:t xml:space="preserve">url_entropy </w:t>
            </w:r>
            <w:r>
              <w:br/>
            </w:r>
            <w:r>
              <w:rPr>
                <w:rFonts w:ascii="NimbusMonL" w:hAnsi="NimbusMonL" w:eastAsia="NimbusMonL"/>
                <w:b w:val="0"/>
                <w:i w:val="0"/>
                <w:color w:val="000000"/>
                <w:sz w:val="18"/>
              </w:rPr>
              <w:t xml:space="preserve">hostname_entropy </w:t>
            </w:r>
            <w:r>
              <w:br/>
            </w:r>
            <w:r>
              <w:rPr>
                <w:rFonts w:ascii="NimbusMonL" w:hAnsi="NimbusMonL" w:eastAsia="NimbusMonL"/>
                <w:b w:val="0"/>
                <w:i w:val="0"/>
                <w:color w:val="000000"/>
                <w:sz w:val="18"/>
              </w:rPr>
              <w:t>is_shortened</w:t>
            </w:r>
          </w:p>
        </w:tc>
        <w:tc>
          <w:tcPr>
            <w:tcW w:type="dxa" w:w="5124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8" w:after="0"/>
              <w:ind w:left="454" w:right="576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 xml:space="preserve">Character length of the full URL </w:t>
            </w:r>
            <w:r>
              <w:br/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 xml:space="preserve">Character length of the hostname </w:t>
            </w:r>
            <w:r>
              <w:br/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 xml:space="preserve">Character length of the URL path </w:t>
            </w:r>
            <w:r>
              <w:br/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Count of</w:t>
            </w:r>
            <w:r>
              <w:rPr>
                <w:rFonts w:ascii="NimbusMonL" w:hAnsi="NimbusMonL" w:eastAsia="NimbusMonL"/>
                <w:b w:val="0"/>
                <w:i w:val="0"/>
                <w:color w:val="000000"/>
                <w:sz w:val="18"/>
              </w:rPr>
              <w:t xml:space="preserve"> .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 xml:space="preserve"> characters in the URL </w:t>
            </w:r>
            <w:r>
              <w:br/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Count of</w:t>
            </w:r>
            <w:r>
              <w:rPr>
                <w:rFonts w:ascii="NimbusMonL" w:hAnsi="NimbusMonL" w:eastAsia="NimbusMonL"/>
                <w:b w:val="0"/>
                <w:i w:val="0"/>
                <w:color w:val="000000"/>
                <w:sz w:val="18"/>
              </w:rPr>
              <w:t xml:space="preserve"> -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 xml:space="preserve"> characters in the URL </w:t>
            </w:r>
            <w:r>
              <w:br/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Count of</w:t>
            </w:r>
            <w:r>
              <w:rPr>
                <w:rFonts w:ascii="NimbusMonL" w:hAnsi="NimbusMonL" w:eastAsia="NimbusMonL"/>
                <w:b w:val="0"/>
                <w:i w:val="0"/>
                <w:color w:val="000000"/>
                <w:sz w:val="18"/>
              </w:rPr>
              <w:t xml:space="preserve"> _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 xml:space="preserve"> characters in the URL </w:t>
            </w:r>
            <w:r>
              <w:br/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Count of</w:t>
            </w:r>
            <w:r>
              <w:rPr>
                <w:rFonts w:ascii="NimbusMonL" w:hAnsi="NimbusMonL" w:eastAsia="NimbusMonL"/>
                <w:b w:val="0"/>
                <w:i w:val="0"/>
                <w:color w:val="000000"/>
                <w:sz w:val="18"/>
              </w:rPr>
              <w:t xml:space="preserve"> /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 xml:space="preserve"> characters in the URL </w:t>
            </w:r>
            <w:r>
              <w:br/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Count of</w:t>
            </w:r>
            <w:r>
              <w:rPr>
                <w:rFonts w:ascii="NimbusMonL" w:hAnsi="NimbusMonL" w:eastAsia="NimbusMonL"/>
                <w:b w:val="0"/>
                <w:i w:val="0"/>
                <w:color w:val="000000"/>
                <w:sz w:val="18"/>
              </w:rPr>
              <w:t xml:space="preserve"> ?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 xml:space="preserve">characters in the URL </w:t>
            </w:r>
            <w:r>
              <w:br/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Count of</w:t>
            </w:r>
            <w:r>
              <w:rPr>
                <w:rFonts w:ascii="NimbusMonL" w:hAnsi="NimbusMonL" w:eastAsia="NimbusMonL"/>
                <w:b w:val="0"/>
                <w:i w:val="0"/>
                <w:color w:val="000000"/>
                <w:sz w:val="18"/>
              </w:rPr>
              <w:t xml:space="preserve"> =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 xml:space="preserve"> characters in the URL </w:t>
            </w:r>
            <w:r>
              <w:br/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Count of</w:t>
            </w:r>
            <w:r>
              <w:rPr>
                <w:rFonts w:ascii="NimbusMonL" w:hAnsi="NimbusMonL" w:eastAsia="NimbusMonL"/>
                <w:b w:val="0"/>
                <w:i w:val="0"/>
                <w:color w:val="000000"/>
                <w:sz w:val="18"/>
              </w:rPr>
              <w:t xml:space="preserve"> @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 xml:space="preserve"> characters in the URL </w:t>
            </w:r>
            <w:r>
              <w:br/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Count of</w:t>
            </w:r>
            <w:r>
              <w:rPr>
                <w:rFonts w:ascii="NimbusMonL" w:hAnsi="NimbusMonL" w:eastAsia="NimbusMonL"/>
                <w:b w:val="0"/>
                <w:i w:val="0"/>
                <w:color w:val="000000"/>
                <w:sz w:val="18"/>
              </w:rPr>
              <w:t xml:space="preserve"> &amp;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 xml:space="preserve"> characters in the URL </w:t>
            </w:r>
            <w:r>
              <w:br/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Count of</w:t>
            </w:r>
            <w:r>
              <w:rPr>
                <w:rFonts w:ascii="NimbusMonL" w:hAnsi="NimbusMonL" w:eastAsia="NimbusMonL"/>
                <w:b w:val="0"/>
                <w:i w:val="0"/>
                <w:color w:val="000000"/>
                <w:sz w:val="18"/>
              </w:rPr>
              <w:t xml:space="preserve"> %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 xml:space="preserve"> characters in the URL </w:t>
            </w:r>
            <w:r>
              <w:br/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 xml:space="preserve">Count of digit characters in the URL </w:t>
            </w:r>
            <w:r>
              <w:br/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 xml:space="preserve">Digit characters as a fraction of URL length </w:t>
            </w:r>
            <w:r>
              <w:br/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 xml:space="preserve">Number of hostname labels beyond domain and TLD 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 xml:space="preserve">1 if the hostname is a literal IPv4 address </w:t>
            </w:r>
            <w:r>
              <w:br/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 xml:space="preserve">1 if a port number is present </w:t>
            </w:r>
            <w:r>
              <w:br/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1 if the scheme is</w:t>
            </w:r>
            <w:r>
              <w:rPr>
                <w:rFonts w:ascii="NimbusMonL" w:hAnsi="NimbusMonL" w:eastAsia="NimbusMonL"/>
                <w:b w:val="0"/>
                <w:i w:val="0"/>
                <w:color w:val="000000"/>
                <w:sz w:val="18"/>
              </w:rPr>
              <w:t xml:space="preserve"> https </w:t>
            </w:r>
            <w:r>
              <w:br/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 xml:space="preserve">Shannon entropy of the full URL string </w:t>
            </w:r>
            <w:r>
              <w:br/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 xml:space="preserve">Shannon entropy of the hostname string </w:t>
            </w:r>
            <w:r>
              <w:br/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1 if hostname matches a known URL-shortener domain</w:t>
            </w:r>
          </w:p>
        </w:tc>
      </w:tr>
    </w:tbl>
    <w:p>
      <w:pPr>
        <w:autoSpaceDN w:val="0"/>
        <w:autoSpaceDE w:val="0"/>
        <w:widowControl/>
        <w:spacing w:line="14" w:lineRule="exact" w:before="0" w:after="32"/>
        <w:ind w:left="0" w:right="0"/>
      </w:pPr>
    </w:p>
    <w:p>
      <w:pPr>
        <w:sectPr>
          <w:pgSz w:w="11909" w:h="16834"/>
          <w:pgMar w:top="332" w:right="1390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98" w:lineRule="exact" w:before="0" w:after="0"/>
        <w:ind w:left="860" w:right="144" w:firstLine="0"/>
        <w:jc w:val="left"/>
      </w:pPr>
      <w:r>
        <w:rPr>
          <w:rFonts w:ascii="NimbusMonL" w:hAnsi="NimbusMonL" w:eastAsia="NimbusMonL"/>
          <w:b w:val="0"/>
          <w:i w:val="0"/>
          <w:color w:val="000000"/>
          <w:sz w:val="18"/>
        </w:rPr>
        <w:t xml:space="preserve">num_suspicious_keywords </w:t>
      </w:r>
      <w:r>
        <w:rPr>
          <w:rFonts w:ascii="NimbusMonL" w:hAnsi="NimbusMonL" w:eastAsia="NimbusMonL"/>
          <w:b w:val="0"/>
          <w:i w:val="0"/>
          <w:color w:val="000000"/>
          <w:sz w:val="18"/>
        </w:rPr>
        <w:t>has_suspicious_keyword</w:t>
      </w:r>
    </w:p>
    <w:p>
      <w:pPr>
        <w:sectPr>
          <w:type w:val="continuous"/>
          <w:pgSz w:w="11909" w:h="16834"/>
          <w:pgMar w:top="332" w:right="1390" w:bottom="400" w:left="1412" w:header="720" w:footer="720" w:gutter="0"/>
          <w:cols w:num="2" w:equalWidth="0">
            <w:col w:w="3508" w:space="0"/>
            <w:col w:w="5598" w:space="0"/>
          </w:cols>
          <w:docGrid w:linePitch="360"/>
        </w:sectPr>
      </w:pPr>
    </w:p>
    <w:p>
      <w:pPr>
        <w:autoSpaceDN w:val="0"/>
        <w:autoSpaceDE w:val="0"/>
        <w:widowControl/>
        <w:spacing w:line="200" w:lineRule="exact" w:before="0" w:after="30"/>
        <w:ind w:left="174" w:right="864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18"/>
        </w:rPr>
        <w:t xml:space="preserve">Count of phishing-associated keywords (e.g., “login”, “verify”) 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1 if any suspicious keyword is present</w:t>
      </w:r>
    </w:p>
    <w:p>
      <w:pPr>
        <w:sectPr>
          <w:type w:val="nextColumn"/>
          <w:pgSz w:w="11909" w:h="16834"/>
          <w:pgMar w:top="332" w:right="1390" w:bottom="400" w:left="1412" w:header="720" w:footer="720" w:gutter="0"/>
          <w:cols w:num="2" w:equalWidth="0">
            <w:col w:w="3508" w:space="0"/>
            <w:col w:w="5598" w:space="0"/>
          </w:cols>
          <w:docGrid w:linePitch="360"/>
        </w:sectPr>
      </w:pPr>
    </w:p>
    <w:p>
      <w:pPr>
        <w:autoSpaceDN w:val="0"/>
        <w:tabs>
          <w:tab w:pos="3682" w:val="left"/>
        </w:tabs>
        <w:autoSpaceDE w:val="0"/>
        <w:widowControl/>
        <w:spacing w:line="180" w:lineRule="exact" w:before="0" w:after="32"/>
        <w:ind w:left="860" w:right="0" w:firstLine="0"/>
        <w:jc w:val="left"/>
      </w:pPr>
      <w:r>
        <w:rPr>
          <w:rFonts w:ascii="NimbusMonL" w:hAnsi="NimbusMonL" w:eastAsia="NimbusMonL"/>
          <w:b w:val="0"/>
          <w:i w:val="0"/>
          <w:color w:val="000000"/>
          <w:sz w:val="18"/>
        </w:rPr>
        <w:t xml:space="preserve">domain_length </w:t>
      </w:r>
      <w:r>
        <w:tab/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Character length of the second-level domain label</w:t>
      </w:r>
    </w:p>
    <w:p>
      <w:pPr>
        <w:sectPr>
          <w:type w:val="continuous"/>
          <w:pgSz w:w="11909" w:h="16834"/>
          <w:pgMar w:top="332" w:right="1390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00" w:lineRule="exact" w:before="0" w:after="0"/>
        <w:ind w:left="860" w:right="0" w:firstLine="0"/>
        <w:jc w:val="left"/>
      </w:pPr>
      <w:r>
        <w:rPr>
          <w:rFonts w:ascii="NimbusMonL" w:hAnsi="NimbusMonL" w:eastAsia="NimbusMonL"/>
          <w:b w:val="0"/>
          <w:i w:val="0"/>
          <w:color w:val="000000"/>
          <w:sz w:val="18"/>
        </w:rPr>
        <w:t xml:space="preserve">path_num_segments </w:t>
      </w:r>
      <w:r>
        <w:br/>
      </w:r>
      <w:r>
        <w:rPr>
          <w:rFonts w:ascii="NimbusMonL" w:hAnsi="NimbusMonL" w:eastAsia="NimbusMonL"/>
          <w:b w:val="0"/>
          <w:i w:val="0"/>
          <w:color w:val="000000"/>
          <w:sz w:val="18"/>
        </w:rPr>
        <w:t>has_double_slash_in_path</w:t>
      </w:r>
    </w:p>
    <w:p>
      <w:pPr>
        <w:sectPr>
          <w:type w:val="continuous"/>
          <w:pgSz w:w="11909" w:h="16834"/>
          <w:pgMar w:top="332" w:right="1390" w:bottom="400" w:left="1412" w:header="720" w:footer="720" w:gutter="0"/>
          <w:cols w:num="2" w:equalWidth="0">
            <w:col w:w="3562" w:space="0"/>
            <w:col w:w="5544" w:space="0"/>
          </w:cols>
          <w:docGrid w:linePitch="360"/>
        </w:sectPr>
      </w:pPr>
    </w:p>
    <w:p>
      <w:pPr>
        <w:autoSpaceDN w:val="0"/>
        <w:autoSpaceDE w:val="0"/>
        <w:widowControl/>
        <w:spacing w:line="198" w:lineRule="exact" w:before="0" w:after="32"/>
        <w:ind w:left="120" w:right="2736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18"/>
        </w:rPr>
        <w:t xml:space="preserve">Number of non-empty path segments </w:t>
      </w:r>
      <w:r>
        <w:br/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1 if</w:t>
      </w:r>
      <w:r>
        <w:rPr>
          <w:rFonts w:ascii="NimbusMonL" w:hAnsi="NimbusMonL" w:eastAsia="NimbusMonL"/>
          <w:b w:val="0"/>
          <w:i w:val="0"/>
          <w:color w:val="000000"/>
          <w:sz w:val="18"/>
        </w:rPr>
        <w:t xml:space="preserve"> //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 xml:space="preserve"> appears inside the path</w:t>
      </w:r>
    </w:p>
    <w:p>
      <w:pPr>
        <w:sectPr>
          <w:type w:val="nextColumn"/>
          <w:pgSz w:w="11909" w:h="16834"/>
          <w:pgMar w:top="332" w:right="1390" w:bottom="400" w:left="1412" w:header="720" w:footer="720" w:gutter="0"/>
          <w:cols w:num="2" w:equalWidth="0">
            <w:col w:w="3562" w:space="0"/>
            <w:col w:w="5544" w:space="0"/>
          </w:cols>
          <w:docGrid w:linePitch="360"/>
        </w:sectPr>
      </w:pPr>
    </w:p>
    <w:p>
      <w:pPr>
        <w:autoSpaceDN w:val="0"/>
        <w:tabs>
          <w:tab w:pos="3682" w:val="left"/>
        </w:tabs>
        <w:autoSpaceDE w:val="0"/>
        <w:widowControl/>
        <w:spacing w:line="178" w:lineRule="exact" w:before="0" w:after="0"/>
        <w:ind w:left="860" w:right="0" w:firstLine="0"/>
        <w:jc w:val="left"/>
      </w:pPr>
      <w:r>
        <w:rPr>
          <w:rFonts w:ascii="NimbusMonL" w:hAnsi="NimbusMonL" w:eastAsia="NimbusMonL"/>
          <w:b w:val="0"/>
          <w:i w:val="0"/>
          <w:color w:val="000000"/>
          <w:sz w:val="18"/>
        </w:rPr>
        <w:t xml:space="preserve">num_www </w:t>
      </w:r>
      <w:r>
        <w:tab/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1 if the hostname starts with</w:t>
      </w:r>
      <w:r>
        <w:rPr>
          <w:rFonts w:ascii="NimbusMonL" w:hAnsi="NimbusMonL" w:eastAsia="NimbusMonL"/>
          <w:b w:val="0"/>
          <w:i w:val="0"/>
          <w:color w:val="000000"/>
          <w:sz w:val="18"/>
        </w:rPr>
        <w:t xml:space="preserve"> www.</w:t>
      </w:r>
    </w:p>
    <w:p>
      <w:pPr>
        <w:autoSpaceDN w:val="0"/>
        <w:tabs>
          <w:tab w:pos="3682" w:val="left"/>
        </w:tabs>
        <w:autoSpaceDE w:val="0"/>
        <w:widowControl/>
        <w:spacing w:line="190" w:lineRule="exact" w:before="20" w:after="0"/>
        <w:ind w:left="860" w:right="0" w:firstLine="0"/>
        <w:jc w:val="left"/>
      </w:pPr>
      <w:r>
        <w:rPr>
          <w:rFonts w:ascii="NimbusMonL" w:hAnsi="NimbusMonL" w:eastAsia="NimbusMonL"/>
          <w:b w:val="0"/>
          <w:i w:val="0"/>
          <w:color w:val="000000"/>
          <w:sz w:val="18"/>
        </w:rPr>
        <w:t xml:space="preserve">longest_label_length </w:t>
      </w:r>
      <w:r>
        <w:tab/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Length of the longest hostname label</w:t>
      </w:r>
    </w:p>
    <w:p>
      <w:pPr>
        <w:autoSpaceDN w:val="0"/>
        <w:tabs>
          <w:tab w:pos="3682" w:val="left"/>
        </w:tabs>
        <w:autoSpaceDE w:val="0"/>
        <w:widowControl/>
        <w:spacing w:line="188" w:lineRule="exact" w:before="22" w:after="0"/>
        <w:ind w:left="860" w:right="0" w:firstLine="0"/>
        <w:jc w:val="left"/>
      </w:pPr>
      <w:r>
        <w:rPr>
          <w:rFonts w:ascii="NimbusMonL" w:hAnsi="NimbusMonL" w:eastAsia="NimbusMonL"/>
          <w:b w:val="0"/>
          <w:i w:val="0"/>
          <w:color w:val="000000"/>
          <w:sz w:val="18"/>
        </w:rPr>
        <w:t xml:space="preserve">tld_length </w:t>
      </w:r>
      <w:r>
        <w:tab/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Character length of the top-level domain</w:t>
      </w:r>
    </w:p>
    <w:p>
      <w:pPr>
        <w:autoSpaceDN w:val="0"/>
        <w:tabs>
          <w:tab w:pos="3682" w:val="left"/>
        </w:tabs>
        <w:autoSpaceDE w:val="0"/>
        <w:widowControl/>
        <w:spacing w:line="188" w:lineRule="exact" w:before="22" w:after="30"/>
        <w:ind w:left="860" w:right="0" w:firstLine="0"/>
        <w:jc w:val="left"/>
      </w:pPr>
      <w:r>
        <w:rPr>
          <w:rFonts w:ascii="NimbusMonL" w:hAnsi="NimbusMonL" w:eastAsia="NimbusMonL"/>
          <w:b w:val="0"/>
          <w:i w:val="0"/>
          <w:color w:val="000000"/>
          <w:sz w:val="18"/>
        </w:rPr>
        <w:t xml:space="preserve">has_at_symbol </w:t>
      </w:r>
      <w:r>
        <w:tab/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1 if</w:t>
      </w:r>
      <w:r>
        <w:rPr>
          <w:rFonts w:ascii="NimbusMonL" w:hAnsi="NimbusMonL" w:eastAsia="NimbusMonL"/>
          <w:b w:val="0"/>
          <w:i w:val="0"/>
          <w:color w:val="000000"/>
          <w:sz w:val="18"/>
        </w:rPr>
        <w:t xml:space="preserve"> @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 xml:space="preserve"> appears anywhere in the URL</w:t>
      </w:r>
    </w:p>
    <w:p>
      <w:pPr>
        <w:sectPr>
          <w:type w:val="continuous"/>
          <w:pgSz w:w="11909" w:h="16834"/>
          <w:pgMar w:top="332" w:right="1390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98" w:lineRule="exact" w:before="0" w:after="0"/>
        <w:ind w:left="860" w:right="144" w:firstLine="0"/>
        <w:jc w:val="left"/>
      </w:pPr>
      <w:r>
        <w:rPr>
          <w:rFonts w:ascii="NimbusMonL" w:hAnsi="NimbusMonL" w:eastAsia="NimbusMonL"/>
          <w:b w:val="0"/>
          <w:i w:val="0"/>
          <w:color w:val="000000"/>
          <w:sz w:val="18"/>
        </w:rPr>
        <w:t xml:space="preserve">num_dashes_in_hostname </w:t>
      </w:r>
      <w:r>
        <w:rPr>
          <w:rFonts w:ascii="NimbusMonL" w:hAnsi="NimbusMonL" w:eastAsia="NimbusMonL"/>
          <w:b w:val="0"/>
          <w:i w:val="0"/>
          <w:color w:val="000000"/>
          <w:sz w:val="18"/>
        </w:rPr>
        <w:t>vowel_ratio_hostname</w:t>
      </w:r>
    </w:p>
    <w:p>
      <w:pPr>
        <w:sectPr>
          <w:type w:val="continuous"/>
          <w:pgSz w:w="11909" w:h="16834"/>
          <w:pgMar w:top="332" w:right="1390" w:bottom="400" w:left="1412" w:header="720" w:footer="720" w:gutter="0"/>
          <w:cols w:num="2" w:equalWidth="0">
            <w:col w:w="3454" w:space="0"/>
            <w:col w:w="5651" w:space="0"/>
          </w:cols>
          <w:docGrid w:linePitch="360"/>
        </w:sectPr>
      </w:pPr>
    </w:p>
    <w:p>
      <w:pPr>
        <w:autoSpaceDN w:val="0"/>
        <w:autoSpaceDE w:val="0"/>
        <w:widowControl/>
        <w:spacing w:line="204" w:lineRule="exact" w:before="0" w:after="60"/>
        <w:ind w:left="228" w:right="1728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18"/>
        </w:rPr>
        <w:t>Count of</w:t>
      </w:r>
      <w:r>
        <w:rPr>
          <w:rFonts w:ascii="NimbusMonL" w:hAnsi="NimbusMonL" w:eastAsia="NimbusMonL"/>
          <w:b w:val="0"/>
          <w:i w:val="0"/>
          <w:color w:val="000000"/>
          <w:sz w:val="18"/>
        </w:rPr>
        <w:t xml:space="preserve"> -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 xml:space="preserve"> characters within the hostname only 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Vowel characters as a fraction of hostname length</w:t>
      </w:r>
    </w:p>
    <w:p>
      <w:pPr>
        <w:sectPr>
          <w:type w:val="nextColumn"/>
          <w:pgSz w:w="11909" w:h="16834"/>
          <w:pgMar w:top="332" w:right="1390" w:bottom="400" w:left="1412" w:header="720" w:footer="720" w:gutter="0"/>
          <w:cols w:num="2" w:equalWidth="0">
            <w:col w:w="3454" w:space="0"/>
            <w:col w:w="5651" w:space="0"/>
          </w:cols>
          <w:docGrid w:linePitch="360"/>
        </w:sectPr>
      </w:pPr>
    </w:p>
    <w:p>
      <w:pPr>
        <w:autoSpaceDN w:val="0"/>
        <w:autoSpaceDE w:val="0"/>
        <w:widowControl/>
        <w:spacing w:line="240" w:lineRule="exact" w:before="468" w:after="0"/>
        <w:ind w:left="0" w:right="20" w:firstLine="0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>only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three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models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provides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limited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power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to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detect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common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monotonic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trend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regardless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of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specification,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we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additionally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run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Page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test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for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monotonic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decreasing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trend,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treating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three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models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judges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ranking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the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five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temporal-distance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conditions,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cross-check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its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normal-approximation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p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-value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with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exact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Monte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Carlo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permutation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null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(100,000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iterations)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given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test’s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low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nominal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power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only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three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judges.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compare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the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sliding-window and cumulative strategies with a paired Wilcoxon signed-rank test per model.</w:t>
      </w:r>
    </w:p>
    <w:p>
      <w:pPr>
        <w:autoSpaceDN w:val="0"/>
        <w:autoSpaceDE w:val="0"/>
        <w:widowControl/>
        <w:spacing w:line="286" w:lineRule="exact" w:before="576" w:after="0"/>
        <w:ind w:left="0" w:right="0" w:firstLine="0"/>
        <w:jc w:val="left"/>
      </w:pP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4 RESULTS</w:t>
      </w:r>
    </w:p>
    <w:p>
      <w:pPr>
        <w:autoSpaceDN w:val="0"/>
        <w:autoSpaceDE w:val="0"/>
        <w:widowControl/>
        <w:spacing w:line="240" w:lineRule="exact" w:before="340" w:after="0"/>
        <w:ind w:left="0" w:right="20" w:firstLine="338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>All three models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achieve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F1</w:t>
      </w:r>
      <w:r>
        <w:rPr>
          <w:rFonts w:ascii="CMMI10" w:hAnsi="CMMI10" w:eastAsia="CMMI10"/>
          <w:b w:val="0"/>
          <w:i/>
          <w:color w:val="000000"/>
          <w:sz w:val="20"/>
        </w:rPr>
        <w:t>&gt;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 0</w:t>
      </w:r>
      <w:r>
        <w:rPr>
          <w:rFonts w:ascii="CMMI10" w:hAnsi="CMMI10" w:eastAsia="CMMI10"/>
          <w:b w:val="0"/>
          <w:i/>
          <w:color w:val="000000"/>
          <w:sz w:val="20"/>
        </w:rPr>
        <w:t>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98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every one of the four designs: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there is no configuration in which any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model performs poorly in absolute terms (Figure 1). The comparison that matters is relative: Table 2 shows the gap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between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random-split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baseline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temporally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displaced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(fixed-design)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evaluations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small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(0.09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to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0.35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percentage points of F1 on average across displaced blocks, model-dependent) but non-zero, and grows toward the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worst-case block (up to 0.92 points for logistic regression); Table 3 gives the full breakdown by block and model.</w:t>
      </w:r>
    </w:p>
    <w:p>
      <w:pPr>
        <w:autoSpaceDN w:val="0"/>
        <w:autoSpaceDE w:val="0"/>
        <w:widowControl/>
        <w:spacing w:line="240" w:lineRule="exact" w:before="238" w:after="0"/>
        <w:ind w:left="0" w:right="20" w:firstLine="338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>A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per-model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OLS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regression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of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F1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temporal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distance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directionally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negative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for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all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three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models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but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reaches significance only for the pooled fit (</w:t>
      </w:r>
      <w:r>
        <w:rPr>
          <w:rFonts w:ascii="StandardSymL" w:hAnsi="StandardSymL" w:eastAsia="StandardSymL"/>
          <w:b w:val="0"/>
          <w:i/>
          <w:color w:val="000000"/>
          <w:sz w:val="20"/>
        </w:rPr>
        <w:t>β</w:t>
      </w:r>
      <w:r>
        <w:rPr>
          <w:rFonts w:ascii="CMR10" w:hAnsi="CMR10" w:eastAsia="CMR10"/>
          <w:b w:val="0"/>
          <w:i w:val="0"/>
          <w:color w:val="000000"/>
          <w:sz w:val="20"/>
        </w:rPr>
        <w:t>=</w:t>
      </w:r>
      <w:r>
        <w:rPr>
          <w:rFonts w:ascii="CMSY10" w:hAnsi="CMSY10" w:eastAsia="CMSY10"/>
          <w:b w:val="0"/>
          <w:i/>
          <w:color w:val="000000"/>
          <w:sz w:val="20"/>
        </w:rPr>
        <w:t xml:space="preserve"> −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0</w:t>
      </w:r>
      <w:r>
        <w:rPr>
          <w:rFonts w:ascii="CMMI10" w:hAnsi="CMMI10" w:eastAsia="CMMI10"/>
          <w:b w:val="0"/>
          <w:i/>
          <w:color w:val="000000"/>
          <w:sz w:val="20"/>
        </w:rPr>
        <w:t>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00136,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p</w:t>
      </w:r>
      <w:r>
        <w:rPr>
          <w:rFonts w:ascii="CMR10" w:hAnsi="CMR10" w:eastAsia="CMR10"/>
          <w:b w:val="0"/>
          <w:i w:val="0"/>
          <w:color w:val="000000"/>
          <w:sz w:val="20"/>
        </w:rPr>
        <w:t xml:space="preserve"> =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 0</w:t>
      </w:r>
      <w:r>
        <w:rPr>
          <w:rFonts w:ascii="CMMI10" w:hAnsi="CMMI10" w:eastAsia="CMMI10"/>
          <w:b w:val="0"/>
          <w:i/>
          <w:color w:val="000000"/>
          <w:sz w:val="20"/>
        </w:rPr>
        <w:t>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022,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 xml:space="preserve"> R</w:t>
      </w:r>
      <w:r>
        <w:rPr>
          <w:w w:val="98.29733530680339"/>
          <w:rFonts w:ascii="NimbusRomNo9L" w:hAnsi="NimbusRomNo9L" w:eastAsia="NimbusRomNo9L"/>
          <w:b w:val="0"/>
          <w:i w:val="0"/>
          <w:color w:val="000000"/>
          <w:sz w:val="15"/>
        </w:rPr>
        <w:t>2</w:t>
      </w:r>
      <w:r>
        <w:rPr>
          <w:rFonts w:ascii="CMR10" w:hAnsi="CMR10" w:eastAsia="CMR10"/>
          <w:b w:val="0"/>
          <w:i w:val="0"/>
          <w:color w:val="000000"/>
          <w:sz w:val="20"/>
        </w:rPr>
        <w:t>=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 0</w:t>
      </w:r>
      <w:r>
        <w:rPr>
          <w:rFonts w:ascii="CMMI10" w:hAnsi="CMMI10" w:eastAsia="CMMI10"/>
          <w:b w:val="0"/>
          <w:i/>
          <w:color w:val="000000"/>
          <w:sz w:val="20"/>
        </w:rPr>
        <w:t>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34); individually, logistic regression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is marginal (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p</w:t>
      </w:r>
      <w:r>
        <w:rPr>
          <w:rFonts w:ascii="CMR10" w:hAnsi="CMR10" w:eastAsia="CMR10"/>
          <w:b w:val="0"/>
          <w:i w:val="0"/>
          <w:color w:val="000000"/>
          <w:sz w:val="20"/>
        </w:rPr>
        <w:t xml:space="preserve"> =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 0</w:t>
      </w:r>
      <w:r>
        <w:rPr>
          <w:rFonts w:ascii="CMMI10" w:hAnsi="CMMI10" w:eastAsia="CMMI10"/>
          <w:b w:val="0"/>
          <w:i/>
          <w:color w:val="000000"/>
          <w:sz w:val="20"/>
        </w:rPr>
        <w:t>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062) and the two tree ensembles are not significant on their own (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p</w:t>
      </w:r>
      <w:r>
        <w:rPr>
          <w:rFonts w:ascii="CMR10" w:hAnsi="CMR10" w:eastAsia="CMR10"/>
          <w:b w:val="0"/>
          <w:i w:val="0"/>
          <w:color w:val="000000"/>
          <w:sz w:val="20"/>
        </w:rPr>
        <w:t xml:space="preserve"> =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 0</w:t>
      </w:r>
      <w:r>
        <w:rPr>
          <w:rFonts w:ascii="CMMI10" w:hAnsi="CMMI10" w:eastAsia="CMMI10"/>
          <w:b w:val="0"/>
          <w:i/>
          <w:color w:val="000000"/>
          <w:sz w:val="20"/>
        </w:rPr>
        <w:t>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25 and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p</w:t>
      </w:r>
      <w:r>
        <w:rPr>
          <w:rFonts w:ascii="CMR10" w:hAnsi="CMR10" w:eastAsia="CMR10"/>
          <w:b w:val="0"/>
          <w:i w:val="0"/>
          <w:color w:val="000000"/>
          <w:sz w:val="20"/>
        </w:rPr>
        <w:t xml:space="preserve"> =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 0</w:t>
      </w:r>
      <w:r>
        <w:rPr>
          <w:rFonts w:ascii="CMMI10" w:hAnsi="CMMI10" w:eastAsia="CMMI10"/>
          <w:b w:val="0"/>
          <w:i/>
          <w:color w:val="000000"/>
          <w:sz w:val="20"/>
        </w:rPr>
        <w:t>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19). This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naive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pooled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fit,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however,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conflates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two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different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sources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of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variance: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large,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fixed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differences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baseline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F1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between models (logistic regression trails the two tree ensembles by roughly a full percentage point throughout) and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the within-model trend with distance that is the actual quantity of interest. Controlling for model as a fixed effect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(ANCOVA) removes the former from the residual: the slope estimate is unchanged (</w:t>
      </w:r>
      <w:r>
        <w:rPr>
          <w:rFonts w:ascii="StandardSymL" w:hAnsi="StandardSymL" w:eastAsia="StandardSymL"/>
          <w:b w:val="0"/>
          <w:i/>
          <w:color w:val="000000"/>
          <w:sz w:val="20"/>
        </w:rPr>
        <w:t>β</w:t>
      </w:r>
      <w:r>
        <w:rPr>
          <w:rFonts w:ascii="CMR10" w:hAnsi="CMR10" w:eastAsia="CMR10"/>
          <w:b w:val="0"/>
          <w:i w:val="0"/>
          <w:color w:val="000000"/>
          <w:sz w:val="20"/>
        </w:rPr>
        <w:t xml:space="preserve"> =</w:t>
      </w:r>
      <w:r>
        <w:rPr>
          <w:rFonts w:ascii="CMSY10" w:hAnsi="CMSY10" w:eastAsia="CMSY10"/>
          <w:b w:val="0"/>
          <w:i/>
          <w:color w:val="000000"/>
          <w:sz w:val="20"/>
        </w:rPr>
        <w:t xml:space="preserve"> −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0</w:t>
      </w:r>
      <w:r>
        <w:rPr>
          <w:rFonts w:ascii="CMMI10" w:hAnsi="CMMI10" w:eastAsia="CMMI10"/>
          <w:b w:val="0"/>
          <w:i/>
          <w:color w:val="000000"/>
          <w:sz w:val="20"/>
        </w:rPr>
        <w:t>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00136, since the design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is balanced across models) but its precision improves substantially (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p</w:t>
      </w:r>
      <w:r>
        <w:rPr>
          <w:rFonts w:ascii="CMR10" w:hAnsi="CMR10" w:eastAsia="CMR10"/>
          <w:b w:val="0"/>
          <w:i w:val="0"/>
          <w:color w:val="000000"/>
          <w:sz w:val="20"/>
        </w:rPr>
        <w:t xml:space="preserve"> =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 0</w:t>
      </w:r>
      <w:r>
        <w:rPr>
          <w:rFonts w:ascii="CMMI10" w:hAnsi="CMMI10" w:eastAsia="CMMI10"/>
          <w:b w:val="0"/>
          <w:i/>
          <w:color w:val="000000"/>
          <w:sz w:val="20"/>
        </w:rPr>
        <w:t>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0048,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 xml:space="preserve"> R</w:t>
      </w:r>
      <w:r>
        <w:rPr>
          <w:w w:val="98.29733530680339"/>
          <w:rFonts w:ascii="NimbusRomNo9L" w:hAnsi="NimbusRomNo9L" w:eastAsia="NimbusRomNo9L"/>
          <w:b w:val="0"/>
          <w:i w:val="0"/>
          <w:color w:val="000000"/>
          <w:sz w:val="15"/>
        </w:rPr>
        <w:t>2</w:t>
      </w:r>
      <w:r>
        <w:rPr>
          <w:rFonts w:ascii="CMR10" w:hAnsi="CMR10" w:eastAsia="CMR10"/>
          <w:b w:val="0"/>
          <w:i w:val="0"/>
          <w:color w:val="000000"/>
          <w:sz w:val="20"/>
        </w:rPr>
        <w:t>=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 0</w:t>
      </w:r>
      <w:r>
        <w:rPr>
          <w:rFonts w:ascii="CMMI10" w:hAnsi="CMMI10" w:eastAsia="CMMI10"/>
          <w:b w:val="0"/>
          <w:i/>
          <w:color w:val="000000"/>
          <w:sz w:val="20"/>
        </w:rPr>
        <w:t>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69), because the between-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model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noise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that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was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inflating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naive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test’s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residual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variance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no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longer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attributed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to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distance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trend.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We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treat the Page test as a further, specification-free check of the same conclusion: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treating the three models as judges</w:t>
      </w:r>
    </w:p>
    <w:p>
      <w:pPr>
        <w:sectPr>
          <w:type w:val="continuous"/>
          <w:pgSz w:w="11909" w:h="16834"/>
          <w:pgMar w:top="332" w:right="1390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1612900</wp:posOffset>
            </wp:positionH>
            <wp:positionV relativeFrom="page">
              <wp:posOffset>2794000</wp:posOffset>
            </wp:positionV>
            <wp:extent cx="4330700" cy="2895600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30700" cy="28956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60" w:lineRule="exact" w:before="0" w:after="0"/>
        <w:ind w:left="0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16"/>
        </w:rPr>
        <w:t>Jordanian Journal of Computers and Information Technology (JJCIT), Vol. 12, No. X, 2026.</w:t>
      </w:r>
    </w:p>
    <w:p>
      <w:pPr>
        <w:autoSpaceDN w:val="0"/>
        <w:autoSpaceDE w:val="0"/>
        <w:widowControl/>
        <w:spacing w:line="218" w:lineRule="exact" w:before="566" w:after="228"/>
        <w:ind w:left="0" w:right="0" w:firstLine="0"/>
        <w:jc w:val="center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Table 2. F1 under random vs. temporal (fixed-training) evaluation.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88.0000000000001" w:type="dxa"/>
      </w:tblPr>
      <w:tblGrid>
        <w:gridCol w:w="2277"/>
        <w:gridCol w:w="2277"/>
        <w:gridCol w:w="2277"/>
        <w:gridCol w:w="2277"/>
      </w:tblGrid>
      <w:tr>
        <w:trPr>
          <w:trHeight w:hRule="exact" w:val="384"/>
        </w:trPr>
        <w:tc>
          <w:tcPr>
            <w:tcW w:type="dxa" w:w="1980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6" w:after="0"/>
              <w:ind w:left="12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Model</w:t>
            </w:r>
          </w:p>
        </w:tc>
        <w:tc>
          <w:tcPr>
            <w:tcW w:type="dxa" w:w="1760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F1 (random split)</w:t>
            </w:r>
          </w:p>
        </w:tc>
        <w:tc>
          <w:tcPr>
            <w:tcW w:type="dxa" w:w="1920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F1 (temporal, avg.)</w:t>
            </w:r>
          </w:p>
        </w:tc>
        <w:tc>
          <w:tcPr>
            <w:tcW w:type="dxa" w:w="2594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F1 (temporal, worst block)</w:t>
            </w:r>
          </w:p>
        </w:tc>
      </w:tr>
      <w:tr>
        <w:trPr>
          <w:trHeight w:hRule="exact" w:val="326"/>
        </w:trPr>
        <w:tc>
          <w:tcPr>
            <w:tcW w:type="dxa" w:w="198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4" w:after="0"/>
              <w:ind w:left="12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Random Forest</w:t>
            </w:r>
          </w:p>
        </w:tc>
        <w:tc>
          <w:tcPr>
            <w:tcW w:type="dxa" w:w="176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0.9952</w:t>
            </w:r>
          </w:p>
        </w:tc>
        <w:tc>
          <w:tcPr>
            <w:tcW w:type="dxa" w:w="192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0.9943</w:t>
            </w:r>
          </w:p>
        </w:tc>
        <w:tc>
          <w:tcPr>
            <w:tcW w:type="dxa" w:w="2594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0.9916</w:t>
            </w:r>
          </w:p>
        </w:tc>
      </w:tr>
      <w:tr>
        <w:trPr>
          <w:trHeight w:hRule="exact" w:val="280"/>
        </w:trPr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6" w:after="0"/>
              <w:ind w:left="12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XGBoost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0.9951</w:t>
            </w:r>
          </w:p>
        </w:tc>
        <w:tc>
          <w:tcPr>
            <w:tcW w:type="dxa" w:w="1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0.9935</w:t>
            </w:r>
          </w:p>
        </w:tc>
        <w:tc>
          <w:tcPr>
            <w:tcW w:type="dxa" w:w="25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0.9902</w:t>
            </w:r>
          </w:p>
        </w:tc>
      </w:tr>
      <w:tr>
        <w:trPr>
          <w:trHeight w:hRule="exact" w:val="318"/>
        </w:trPr>
        <w:tc>
          <w:tcPr>
            <w:tcW w:type="dxa" w:w="1980"/>
            <w:tcBorders>
              <w:bottom w:sz="6.9840002059936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Logistic Regression</w:t>
            </w:r>
          </w:p>
        </w:tc>
        <w:tc>
          <w:tcPr>
            <w:tcW w:type="dxa" w:w="1760"/>
            <w:tcBorders>
              <w:bottom w:sz="6.9840002059936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0.9934</w:t>
            </w:r>
          </w:p>
        </w:tc>
        <w:tc>
          <w:tcPr>
            <w:tcW w:type="dxa" w:w="1920"/>
            <w:tcBorders>
              <w:bottom w:sz="6.9840002059936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0.9899</w:t>
            </w:r>
          </w:p>
        </w:tc>
        <w:tc>
          <w:tcPr>
            <w:tcW w:type="dxa" w:w="2594"/>
            <w:tcBorders>
              <w:bottom w:sz="6.9840002059936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0.9842</w:t>
            </w:r>
          </w:p>
        </w:tc>
      </w:tr>
    </w:tbl>
    <w:p>
      <w:pPr>
        <w:autoSpaceDN w:val="0"/>
        <w:autoSpaceDE w:val="0"/>
        <w:widowControl/>
        <w:spacing w:line="240" w:lineRule="exact" w:before="96" w:after="0"/>
        <w:ind w:left="0" w:right="0" w:firstLine="0"/>
        <w:jc w:val="left"/>
      </w:pPr>
      <w:r>
        <w:rPr>
          <w:rFonts w:ascii="NimbusRomNo9L" w:hAnsi="NimbusRomNo9L" w:eastAsia="NimbusRomNo9L"/>
          <w:b w:val="0"/>
          <w:i/>
          <w:color w:val="000000"/>
          <w:sz w:val="20"/>
        </w:rPr>
        <w:t>Note: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random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split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trains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on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80%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of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full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dataset,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whereas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fixed-training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temporal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design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trains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 xml:space="preserve">on 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roughly one-sixth (block 1 alone).</w:t>
      </w:r>
    </w:p>
    <w:p>
      <w:pPr>
        <w:autoSpaceDN w:val="0"/>
        <w:autoSpaceDE w:val="0"/>
        <w:widowControl/>
        <w:spacing w:line="186" w:lineRule="exact" w:before="882" w:after="0"/>
        <w:ind w:left="1436" w:right="0" w:firstLine="0"/>
        <w:jc w:val="left"/>
      </w:pPr>
      <w:r>
        <w:rPr>
          <w:w w:val="98.37000186626727"/>
          <w:rFonts w:ascii="DejaVuSerif" w:hAnsi="DejaVuSerif" w:eastAsia="DejaVuSerif"/>
          <w:b w:val="0"/>
          <w:i w:val="0"/>
          <w:color w:val="000000"/>
          <w:sz w:val="13"/>
        </w:rPr>
        <w:t>0.996</w:t>
      </w:r>
    </w:p>
    <w:p>
      <w:pPr>
        <w:autoSpaceDN w:val="0"/>
        <w:autoSpaceDE w:val="0"/>
        <w:widowControl/>
        <w:spacing w:line="186" w:lineRule="exact" w:before="410" w:after="0"/>
        <w:ind w:left="1436" w:right="0" w:firstLine="0"/>
        <w:jc w:val="left"/>
      </w:pPr>
      <w:r>
        <w:rPr>
          <w:w w:val="98.37000186626727"/>
          <w:rFonts w:ascii="DejaVuSerif" w:hAnsi="DejaVuSerif" w:eastAsia="DejaVuSerif"/>
          <w:b w:val="0"/>
          <w:i w:val="0"/>
          <w:color w:val="000000"/>
          <w:sz w:val="13"/>
        </w:rPr>
        <w:t>0.994</w:t>
      </w:r>
    </w:p>
    <w:p>
      <w:pPr>
        <w:autoSpaceDN w:val="0"/>
        <w:autoSpaceDE w:val="0"/>
        <w:widowControl/>
        <w:spacing w:line="188" w:lineRule="exact" w:before="410" w:after="54"/>
        <w:ind w:left="1436" w:right="0" w:firstLine="0"/>
        <w:jc w:val="left"/>
      </w:pPr>
      <w:r>
        <w:rPr>
          <w:w w:val="98.37000186626727"/>
          <w:rFonts w:ascii="DejaVuSerif" w:hAnsi="DejaVuSerif" w:eastAsia="DejaVuSerif"/>
          <w:b w:val="0"/>
          <w:i w:val="0"/>
          <w:color w:val="000000"/>
          <w:sz w:val="13"/>
        </w:rPr>
        <w:t>0.992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88.0000000000001" w:type="dxa"/>
      </w:tblPr>
      <w:tblGrid>
        <w:gridCol w:w="4553"/>
        <w:gridCol w:w="4553"/>
      </w:tblGrid>
      <w:tr>
        <w:trPr>
          <w:trHeight w:hRule="exact" w:val="760"/>
        </w:trPr>
        <w:tc>
          <w:tcPr>
            <w:tcW w:type="dxa" w:w="820"/>
            <w:tcBorders/>
            <w:tcMar>
              <w:start w:w="0" w:type="dxa"/>
              <w:end w:w="0" w:type="dxa"/>
            </w:tcMar>
            <w:textDirection w:val="btLr"/>
          </w:tcPr>
          <w:p>
            <w:pPr>
              <w:autoSpaceDN w:val="0"/>
              <w:autoSpaceDE w:val="0"/>
              <w:widowControl/>
              <w:spacing w:line="206" w:lineRule="exact" w:before="600" w:after="0"/>
              <w:ind w:left="0" w:right="0" w:firstLine="0"/>
              <w:jc w:val="center"/>
            </w:pPr>
            <w:r>
              <w:rPr>
                <w:w w:val="101.49285452706474"/>
                <w:rFonts w:ascii="DejaVuSerif" w:hAnsi="DejaVuSerif" w:eastAsia="DejaVuSerif"/>
                <w:b w:val="0"/>
                <w:i w:val="0"/>
                <w:color w:val="000000"/>
                <w:sz w:val="14"/>
              </w:rPr>
              <w:t>F1 Score</w:t>
            </w:r>
          </w:p>
        </w:tc>
        <w:tc>
          <w:tcPr>
            <w:tcW w:type="dxa" w:w="4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356" w:after="0"/>
              <w:ind w:left="28" w:right="0" w:firstLine="0"/>
              <w:jc w:val="left"/>
            </w:pPr>
            <w:r>
              <w:rPr>
                <w:w w:val="98.37000186626727"/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0.990</w:t>
            </w:r>
          </w:p>
        </w:tc>
      </w:tr>
    </w:tbl>
    <w:p>
      <w:pPr>
        <w:autoSpaceDN w:val="0"/>
        <w:autoSpaceDE w:val="0"/>
        <w:widowControl/>
        <w:spacing w:line="186" w:lineRule="exact" w:before="192" w:after="350"/>
        <w:ind w:left="1436" w:right="0" w:firstLine="0"/>
        <w:jc w:val="left"/>
      </w:pPr>
      <w:r>
        <w:rPr>
          <w:w w:val="98.37000186626727"/>
          <w:rFonts w:ascii="DejaVuSerif" w:hAnsi="DejaVuSerif" w:eastAsia="DejaVuSerif"/>
          <w:b w:val="0"/>
          <w:i w:val="0"/>
          <w:color w:val="000000"/>
          <w:sz w:val="13"/>
        </w:rPr>
        <w:t>0.988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08.0000000000001" w:type="dxa"/>
      </w:tblPr>
      <w:tblGrid>
        <w:gridCol w:w="4553"/>
        <w:gridCol w:w="4553"/>
      </w:tblGrid>
      <w:tr>
        <w:trPr>
          <w:trHeight w:hRule="exact" w:val="374"/>
        </w:trPr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60" w:after="0"/>
              <w:ind w:left="0" w:right="286" w:firstLine="0"/>
              <w:jc w:val="right"/>
            </w:pPr>
            <w:r>
              <w:rPr>
                <w:w w:val="98.37000186626727"/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0.986</w:t>
            </w:r>
          </w:p>
        </w:tc>
        <w:tc>
          <w:tcPr>
            <w:tcW w:type="dxa" w:w="4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8" w:lineRule="exact" w:before="184" w:after="0"/>
              <w:ind w:left="286" w:right="0" w:firstLine="0"/>
              <w:jc w:val="left"/>
            </w:pPr>
            <w:r>
              <w:rPr>
                <w:w w:val="98.37000186626727"/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Random Forest</w:t>
            </w:r>
          </w:p>
        </w:tc>
      </w:tr>
    </w:tbl>
    <w:p>
      <w:pPr>
        <w:autoSpaceDN w:val="0"/>
        <w:autoSpaceDE w:val="0"/>
        <w:widowControl/>
        <w:spacing w:line="188" w:lineRule="exact" w:before="2" w:after="2"/>
        <w:ind w:left="0" w:right="6174" w:firstLine="0"/>
        <w:jc w:val="right"/>
      </w:pPr>
      <w:r>
        <w:rPr>
          <w:w w:val="98.37000186626727"/>
          <w:rFonts w:ascii="DejaVuSerif" w:hAnsi="DejaVuSerif" w:eastAsia="DejaVuSerif"/>
          <w:b w:val="0"/>
          <w:i w:val="0"/>
          <w:color w:val="000000"/>
          <w:sz w:val="13"/>
        </w:rPr>
        <w:t>XGBoost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08.0000000000001" w:type="dxa"/>
      </w:tblPr>
      <w:tblGrid>
        <w:gridCol w:w="911"/>
        <w:gridCol w:w="911"/>
        <w:gridCol w:w="911"/>
        <w:gridCol w:w="911"/>
        <w:gridCol w:w="911"/>
        <w:gridCol w:w="911"/>
        <w:gridCol w:w="911"/>
        <w:gridCol w:w="911"/>
        <w:gridCol w:w="911"/>
        <w:gridCol w:w="911"/>
      </w:tblGrid>
      <w:tr>
        <w:trPr>
          <w:trHeight w:hRule="exact" w:val="268"/>
        </w:trPr>
        <w:tc>
          <w:tcPr>
            <w:tcW w:type="dxa" w:w="12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90" w:after="0"/>
              <w:ind w:left="0" w:right="126" w:firstLine="0"/>
              <w:jc w:val="right"/>
            </w:pPr>
            <w:r>
              <w:rPr>
                <w:w w:val="98.37000186626727"/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0.984</w:t>
            </w:r>
          </w:p>
        </w:tc>
        <w:tc>
          <w:tcPr>
            <w:tcW w:type="dxa" w:w="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346" w:after="0"/>
              <w:ind w:left="0" w:right="34" w:firstLine="0"/>
              <w:jc w:val="right"/>
            </w:pPr>
            <w:r>
              <w:rPr>
                <w:w w:val="98.37000186626727"/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1.0</w:t>
            </w:r>
          </w:p>
        </w:tc>
        <w:tc>
          <w:tcPr>
            <w:tcW w:type="dxa" w:w="43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8" w:lineRule="exact" w:before="2" w:after="0"/>
              <w:ind w:left="66" w:right="0" w:firstLine="0"/>
              <w:jc w:val="left"/>
            </w:pPr>
            <w:r>
              <w:rPr>
                <w:w w:val="98.37000186626727"/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Logistic Regression</w:t>
            </w:r>
          </w:p>
        </w:tc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346" w:after="0"/>
              <w:ind w:left="0" w:right="0" w:firstLine="0"/>
              <w:jc w:val="center"/>
            </w:pPr>
            <w:r>
              <w:rPr>
                <w:w w:val="98.37000186626727"/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4.5</w:t>
            </w:r>
          </w:p>
        </w:tc>
        <w:tc>
          <w:tcPr>
            <w:tcW w:type="dxa" w:w="11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346" w:after="0"/>
              <w:ind w:left="248" w:right="0" w:firstLine="0"/>
              <w:jc w:val="left"/>
            </w:pPr>
            <w:r>
              <w:rPr>
                <w:w w:val="98.37000186626727"/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5.0</w:t>
            </w:r>
          </w:p>
        </w:tc>
      </w:tr>
      <w:tr>
        <w:trPr>
          <w:trHeight w:hRule="exact" w:val="260"/>
        </w:trPr>
        <w:tc>
          <w:tcPr>
            <w:tcW w:type="dxa" w:w="911"/>
            <w:vMerge/>
            <w:tcBorders/>
          </w:tcPr>
          <w:p/>
        </w:tc>
        <w:tc>
          <w:tcPr>
            <w:tcW w:type="dxa" w:w="911"/>
            <w:vMerge/>
            <w:tcBorders/>
          </w:tcPr>
          <w:p/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74" w:after="0"/>
              <w:ind w:left="0" w:right="218" w:firstLine="0"/>
              <w:jc w:val="right"/>
            </w:pPr>
            <w:r>
              <w:rPr>
                <w:w w:val="98.37000186626727"/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1.5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74" w:after="0"/>
              <w:ind w:left="0" w:right="0" w:firstLine="0"/>
              <w:jc w:val="center"/>
            </w:pPr>
            <w:r>
              <w:rPr>
                <w:w w:val="98.37000186626727"/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2.0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74" w:after="0"/>
              <w:ind w:left="0" w:right="0" w:firstLine="0"/>
              <w:jc w:val="center"/>
            </w:pPr>
            <w:r>
              <w:rPr>
                <w:w w:val="98.37000186626727"/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2.5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74" w:after="0"/>
              <w:ind w:left="0" w:right="0" w:firstLine="0"/>
              <w:jc w:val="center"/>
            </w:pPr>
            <w:r>
              <w:rPr>
                <w:w w:val="98.37000186626727"/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3.0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74" w:after="0"/>
              <w:ind w:left="0" w:right="0" w:firstLine="0"/>
              <w:jc w:val="center"/>
            </w:pPr>
            <w:r>
              <w:rPr>
                <w:w w:val="98.37000186626727"/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3.5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74" w:after="0"/>
              <w:ind w:left="0" w:right="0" w:firstLine="0"/>
              <w:jc w:val="center"/>
            </w:pPr>
            <w:r>
              <w:rPr>
                <w:w w:val="98.37000186626727"/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4.0</w:t>
            </w:r>
          </w:p>
        </w:tc>
        <w:tc>
          <w:tcPr>
            <w:tcW w:type="dxa" w:w="911"/>
            <w:vMerge/>
            <w:tcBorders/>
          </w:tcPr>
          <w:p/>
        </w:tc>
        <w:tc>
          <w:tcPr>
            <w:tcW w:type="dxa" w:w="911"/>
            <w:vMerge/>
            <w:tcBorders/>
          </w:tcPr>
          <w:p/>
        </w:tc>
      </w:tr>
      <w:tr>
        <w:trPr>
          <w:trHeight w:hRule="exact" w:val="264"/>
        </w:trPr>
        <w:tc>
          <w:tcPr>
            <w:tcW w:type="dxa" w:w="911"/>
            <w:vMerge/>
            <w:tcBorders/>
          </w:tcPr>
          <w:p/>
        </w:tc>
        <w:tc>
          <w:tcPr>
            <w:tcW w:type="dxa" w:w="911"/>
            <w:vMerge/>
            <w:tcBorders/>
          </w:tcPr>
          <w:p/>
        </w:tc>
        <w:tc>
          <w:tcPr>
            <w:tcW w:type="dxa" w:w="43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0" w:after="0"/>
              <w:ind w:left="974" w:right="0" w:firstLine="0"/>
              <w:jc w:val="left"/>
            </w:pPr>
            <w:r>
              <w:rPr>
                <w:w w:val="101.49285452706474"/>
                <w:rFonts w:ascii="DejaVuSerif" w:hAnsi="DejaVuSerif" w:eastAsia="DejaVuSerif"/>
                <w:b w:val="0"/>
                <w:i w:val="0"/>
                <w:color w:val="000000"/>
                <w:sz w:val="14"/>
              </w:rPr>
              <w:t>Temporal distance to training block (blocks)</w:t>
            </w:r>
          </w:p>
        </w:tc>
        <w:tc>
          <w:tcPr>
            <w:tcW w:type="dxa" w:w="911"/>
            <w:vMerge/>
            <w:tcBorders/>
          </w:tcPr>
          <w:p/>
        </w:tc>
        <w:tc>
          <w:tcPr>
            <w:tcW w:type="dxa" w:w="911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72" w:lineRule="exact" w:before="196" w:after="0"/>
        <w:ind w:left="0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Figure 1. F1 as a function of temporal distance (fixed-training design); dotted lines mark the random-split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baseline for reference.</w:t>
      </w:r>
    </w:p>
    <w:p>
      <w:pPr>
        <w:autoSpaceDN w:val="0"/>
        <w:autoSpaceDE w:val="0"/>
        <w:widowControl/>
        <w:spacing w:line="240" w:lineRule="exact" w:before="608" w:after="0"/>
        <w:ind w:left="0" w:right="20" w:firstLine="0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>ranking F1 across the five temporal-distance conditions, the test rejects the null of no consistent ordering (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L</w:t>
      </w:r>
      <w:r>
        <w:rPr>
          <w:rFonts w:ascii="CMR10" w:hAnsi="CMR10" w:eastAsia="CMR10"/>
          <w:b w:val="0"/>
          <w:i w:val="0"/>
          <w:color w:val="000000"/>
          <w:sz w:val="20"/>
        </w:rPr>
        <w:t xml:space="preserve"> =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 112, 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Z</w:t>
      </w:r>
      <w:r>
        <w:rPr>
          <w:rFonts w:ascii="CMR10" w:hAnsi="CMR10" w:eastAsia="CMR10"/>
          <w:b w:val="0"/>
          <w:i w:val="0"/>
          <w:color w:val="000000"/>
          <w:sz w:val="20"/>
        </w:rPr>
        <w:t xml:space="preserve"> =</w:t>
      </w:r>
      <w:r>
        <w:rPr>
          <w:rFonts w:ascii="CMSY10" w:hAnsi="CMSY10" w:eastAsia="CMSY10"/>
          <w:b w:val="0"/>
          <w:i/>
          <w:color w:val="000000"/>
          <w:sz w:val="20"/>
        </w:rPr>
        <w:t xml:space="preserve"> −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2</w:t>
      </w:r>
      <w:r>
        <w:rPr>
          <w:rFonts w:ascii="CMMI10" w:hAnsi="CMMI10" w:eastAsia="CMMI10"/>
          <w:b w:val="0"/>
          <w:i/>
          <w:color w:val="000000"/>
          <w:sz w:val="20"/>
        </w:rPr>
        <w:t>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66,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p</w:t>
      </w:r>
      <w:r>
        <w:rPr>
          <w:rFonts w:ascii="CMR10" w:hAnsi="CMR10" w:eastAsia="CMR10"/>
          <w:b w:val="0"/>
          <w:i w:val="0"/>
          <w:color w:val="000000"/>
          <w:sz w:val="20"/>
        </w:rPr>
        <w:t xml:space="preserve"> =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 0</w:t>
      </w:r>
      <w:r>
        <w:rPr>
          <w:rFonts w:ascii="CMMI10" w:hAnsi="CMMI10" w:eastAsia="CMMI10"/>
          <w:b w:val="0"/>
          <w:i/>
          <w:color w:val="000000"/>
          <w:sz w:val="20"/>
        </w:rPr>
        <w:t>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004, one-sided). While there is a visible non-monotonic spike at distance 4 (block 5) for all three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models (Figure 1), the Page test is sensitive to overall ordinal trend rather than requiring strict monotonicity at every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step, making it an appropriate contrast here. With only three judges, the test’s normal approximation is known to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have limited power and reliability, so we additionally computed an exact Monte Carlo permutation null (100,000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iterations, independently permuting each model’s ranking across the five conditions under the null of no association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between rank and temporal distance):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 permutation-based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p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-value (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p</w:t>
      </w:r>
      <w:r>
        <w:rPr>
          <w:rFonts w:ascii="CMR10" w:hAnsi="CMR10" w:eastAsia="CMR10"/>
          <w:b w:val="0"/>
          <w:i w:val="0"/>
          <w:color w:val="000000"/>
          <w:sz w:val="20"/>
        </w:rPr>
        <w:t xml:space="preserve"> =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 0</w:t>
      </w:r>
      <w:r>
        <w:rPr>
          <w:rFonts w:ascii="CMMI10" w:hAnsi="CMMI10" w:eastAsia="CMMI10"/>
          <w:b w:val="0"/>
          <w:i/>
          <w:color w:val="000000"/>
          <w:sz w:val="20"/>
        </w:rPr>
        <w:t>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0026, one-sided) agrees closely with,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and is if anything slightly more extreme than, the asymptotic estimate, so the small-sample caveat does not change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the conclusion. All three approaches (naive pooled regression, model-controlled ANCOVA, and the non-parametric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Page test,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now itself cross-checked by exact permutation) agree on a real,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if small,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degradation trend common to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all three models, with the ANCOVA giving the most statistically defensible estimate of its significance.</w:t>
      </w:r>
    </w:p>
    <w:p>
      <w:pPr>
        <w:autoSpaceDN w:val="0"/>
        <w:autoSpaceDE w:val="0"/>
        <w:widowControl/>
        <w:spacing w:line="240" w:lineRule="exact" w:before="238" w:after="0"/>
        <w:ind w:left="0" w:right="20" w:firstLine="338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Comparing mitigation strategies, cumulative retraining outperforms sliding-window retraining for every model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(Random Forest: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0.9952 vs. 0.9950; XGBoost: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0.9945 vs. 0.9939; Logistic Regression: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0.9931 vs. 0.9923) (Fig-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ure 2); a size-matched control (Limitations) shows this advantage is mostly, and for logistic regression entirely, a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consequence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of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cumulative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retraining’s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larger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training-set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size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rather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than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of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retaining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historical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examples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being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helpful per se,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so we do not read this comparison as evidence that history itself is broadly beneficial. The paired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Wilcoxon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test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five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block-level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F1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values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per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model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has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too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few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pairs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to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reach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conventional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significance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regardless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of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true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effect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size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(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p</w:t>
      </w:r>
      <w:r>
        <w:rPr>
          <w:rFonts w:ascii="CMR10" w:hAnsi="CMR10" w:eastAsia="CMR10"/>
          <w:b w:val="0"/>
          <w:i w:val="0"/>
          <w:color w:val="000000"/>
          <w:sz w:val="20"/>
        </w:rPr>
        <w:t xml:space="preserve"> =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 0</w:t>
      </w:r>
      <w:r>
        <w:rPr>
          <w:rFonts w:ascii="CMMI10" w:hAnsi="CMMI10" w:eastAsia="CMMI10"/>
          <w:b w:val="0"/>
          <w:i/>
          <w:color w:val="000000"/>
          <w:sz w:val="20"/>
        </w:rPr>
        <w:t>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125–0</w:t>
      </w:r>
      <w:r>
        <w:rPr>
          <w:rFonts w:ascii="CMMI10" w:hAnsi="CMMI10" w:eastAsia="CMMI10"/>
          <w:b w:val="0"/>
          <w:i/>
          <w:color w:val="000000"/>
          <w:sz w:val="20"/>
        </w:rPr>
        <w:t>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25),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so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instead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compare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two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strategies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with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paired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boot-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strap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over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underlying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predictions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(2,000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resamples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per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evaluation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block,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pooled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across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five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blocks):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this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confirms cumulative retraining outperforms sliding-window retraining for all three models,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with 95% confidence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intervals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excluding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zero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(Random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Forest:</w:t>
      </w:r>
      <w:r>
        <w:rPr>
          <w:rFonts w:ascii="CMR10" w:hAnsi="CMR10" w:eastAsia="CMR10"/>
          <w:b w:val="0"/>
          <w:i w:val="0"/>
          <w:color w:val="000000"/>
          <w:sz w:val="20"/>
        </w:rPr>
        <w:t>+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0</w:t>
      </w:r>
      <w:r>
        <w:rPr>
          <w:rFonts w:ascii="CMMI10" w:hAnsi="CMMI10" w:eastAsia="CMMI10"/>
          <w:b w:val="0"/>
          <w:i/>
          <w:color w:val="000000"/>
          <w:sz w:val="20"/>
        </w:rPr>
        <w:t>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00024,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95%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CI</w:t>
      </w:r>
      <w:r>
        <w:rPr>
          <w:rFonts w:ascii="CMR10" w:hAnsi="CMR10" w:eastAsia="CMR10"/>
          <w:b w:val="0"/>
          <w:i w:val="0"/>
          <w:color w:val="000000"/>
          <w:sz w:val="20"/>
        </w:rPr>
        <w:t>[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0</w:t>
      </w:r>
      <w:r>
        <w:rPr>
          <w:rFonts w:ascii="CMMI10" w:hAnsi="CMMI10" w:eastAsia="CMMI10"/>
          <w:b w:val="0"/>
          <w:i/>
          <w:color w:val="000000"/>
          <w:sz w:val="20"/>
        </w:rPr>
        <w:t>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00011</w:t>
      </w:r>
      <w:r>
        <w:rPr>
          <w:rFonts w:ascii="CMMI10" w:hAnsi="CMMI10" w:eastAsia="CMMI10"/>
          <w:b w:val="0"/>
          <w:i/>
          <w:color w:val="000000"/>
          <w:sz w:val="20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0</w:t>
      </w:r>
      <w:r>
        <w:rPr>
          <w:rFonts w:ascii="CMMI10" w:hAnsi="CMMI10" w:eastAsia="CMMI10"/>
          <w:b w:val="0"/>
          <w:i/>
          <w:color w:val="000000"/>
          <w:sz w:val="20"/>
        </w:rPr>
        <w:t>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00040</w:t>
      </w:r>
      <w:r>
        <w:rPr>
          <w:rFonts w:ascii="CMR10" w:hAnsi="CMR10" w:eastAsia="CMR10"/>
          <w:b w:val="0"/>
          <w:i w:val="0"/>
          <w:color w:val="000000"/>
          <w:sz w:val="20"/>
        </w:rPr>
        <w:t>]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;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XGBoost:</w:t>
      </w:r>
      <w:r>
        <w:rPr>
          <w:rFonts w:ascii="CMR10" w:hAnsi="CMR10" w:eastAsia="CMR10"/>
          <w:b w:val="0"/>
          <w:i w:val="0"/>
          <w:color w:val="000000"/>
          <w:sz w:val="20"/>
        </w:rPr>
        <w:t>+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0</w:t>
      </w:r>
      <w:r>
        <w:rPr>
          <w:rFonts w:ascii="CMMI10" w:hAnsi="CMMI10" w:eastAsia="CMMI10"/>
          <w:b w:val="0"/>
          <w:i/>
          <w:color w:val="000000"/>
          <w:sz w:val="20"/>
        </w:rPr>
        <w:t>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00067,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95%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CI </w:t>
      </w:r>
      <w:r>
        <w:rPr>
          <w:rFonts w:ascii="CMR10" w:hAnsi="CMR10" w:eastAsia="CMR10"/>
          <w:b w:val="0"/>
          <w:i w:val="0"/>
          <w:color w:val="000000"/>
          <w:sz w:val="20"/>
        </w:rPr>
        <w:t>[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0</w:t>
      </w:r>
      <w:r>
        <w:rPr>
          <w:rFonts w:ascii="CMMI10" w:hAnsi="CMMI10" w:eastAsia="CMMI10"/>
          <w:b w:val="0"/>
          <w:i/>
          <w:color w:val="000000"/>
          <w:sz w:val="20"/>
        </w:rPr>
        <w:t>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00035</w:t>
      </w:r>
      <w:r>
        <w:rPr>
          <w:rFonts w:ascii="CMMI10" w:hAnsi="CMMI10" w:eastAsia="CMMI10"/>
          <w:b w:val="0"/>
          <w:i/>
          <w:color w:val="000000"/>
          <w:sz w:val="20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0</w:t>
      </w:r>
      <w:r>
        <w:rPr>
          <w:rFonts w:ascii="CMMI10" w:hAnsi="CMMI10" w:eastAsia="CMMI10"/>
          <w:b w:val="0"/>
          <w:i/>
          <w:color w:val="000000"/>
          <w:sz w:val="20"/>
        </w:rPr>
        <w:t>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00099</w:t>
      </w:r>
      <w:r>
        <w:rPr>
          <w:rFonts w:ascii="CMR10" w:hAnsi="CMR10" w:eastAsia="CMR10"/>
          <w:b w:val="0"/>
          <w:i w:val="0"/>
          <w:color w:val="000000"/>
          <w:sz w:val="20"/>
        </w:rPr>
        <w:t>]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; Logistic Regression:</w:t>
      </w:r>
      <w:r>
        <w:rPr>
          <w:rFonts w:ascii="CMR10" w:hAnsi="CMR10" w:eastAsia="CMR10"/>
          <w:b w:val="0"/>
          <w:i w:val="0"/>
          <w:color w:val="000000"/>
          <w:sz w:val="20"/>
        </w:rPr>
        <w:t>+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0</w:t>
      </w:r>
      <w:r>
        <w:rPr>
          <w:rFonts w:ascii="CMMI10" w:hAnsi="CMMI10" w:eastAsia="CMMI10"/>
          <w:b w:val="0"/>
          <w:i/>
          <w:color w:val="000000"/>
          <w:sz w:val="20"/>
        </w:rPr>
        <w:t>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00080, 95% CI</w:t>
      </w:r>
      <w:r>
        <w:rPr>
          <w:rFonts w:ascii="CMR10" w:hAnsi="CMR10" w:eastAsia="CMR10"/>
          <w:b w:val="0"/>
          <w:i w:val="0"/>
          <w:color w:val="000000"/>
          <w:sz w:val="20"/>
        </w:rPr>
        <w:t xml:space="preserve"> [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0</w:t>
      </w:r>
      <w:r>
        <w:rPr>
          <w:rFonts w:ascii="CMMI10" w:hAnsi="CMMI10" w:eastAsia="CMMI10"/>
          <w:b w:val="0"/>
          <w:i/>
          <w:color w:val="000000"/>
          <w:sz w:val="20"/>
        </w:rPr>
        <w:t>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00051</w:t>
      </w:r>
      <w:r>
        <w:rPr>
          <w:rFonts w:ascii="CMMI10" w:hAnsi="CMMI10" w:eastAsia="CMMI10"/>
          <w:b w:val="0"/>
          <w:i/>
          <w:color w:val="000000"/>
          <w:sz w:val="20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0</w:t>
      </w:r>
      <w:r>
        <w:rPr>
          <w:rFonts w:ascii="CMMI10" w:hAnsi="CMMI10" w:eastAsia="CMMI10"/>
          <w:b w:val="0"/>
          <w:i/>
          <w:color w:val="000000"/>
          <w:sz w:val="20"/>
        </w:rPr>
        <w:t>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00109</w:t>
      </w:r>
      <w:r>
        <w:rPr>
          <w:rFonts w:ascii="CMR10" w:hAnsi="CMR10" w:eastAsia="CMR10"/>
          <w:b w:val="0"/>
          <w:i w:val="0"/>
          <w:color w:val="000000"/>
          <w:sz w:val="20"/>
        </w:rPr>
        <w:t>]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; all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p</w:t>
      </w:r>
      <w:r>
        <w:rPr>
          <w:rFonts w:ascii="CMMI10" w:hAnsi="CMMI10" w:eastAsia="CMMI10"/>
          <w:b w:val="0"/>
          <w:i/>
          <w:color w:val="000000"/>
          <w:sz w:val="20"/>
        </w:rPr>
        <w:t xml:space="preserve"> &lt;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 0</w:t>
      </w:r>
      <w:r>
        <w:rPr>
          <w:rFonts w:ascii="CMMI10" w:hAnsi="CMMI10" w:eastAsia="CMMI10"/>
          <w:b w:val="0"/>
          <w:i/>
          <w:color w:val="000000"/>
          <w:sz w:val="20"/>
        </w:rPr>
        <w:t>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001). The effect is real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but small in absolute F1 terms, consistent with the modest overall degradation reported above.</w:t>
      </w:r>
    </w:p>
    <w:p>
      <w:pPr>
        <w:sectPr>
          <w:pgSz w:w="11909" w:h="16834"/>
          <w:pgMar w:top="356" w:right="1390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1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1612900</wp:posOffset>
            </wp:positionH>
            <wp:positionV relativeFrom="page">
              <wp:posOffset>2832100</wp:posOffset>
            </wp:positionV>
            <wp:extent cx="1371600" cy="1485900"/>
            <wp:wrapNone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4859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4826000</wp:posOffset>
            </wp:positionH>
            <wp:positionV relativeFrom="page">
              <wp:posOffset>2717800</wp:posOffset>
            </wp:positionV>
            <wp:extent cx="1409700" cy="1790700"/>
            <wp:wrapNone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09700" cy="17907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18" w:lineRule="exact" w:before="0" w:after="0"/>
        <w:ind w:left="0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6</w:t>
      </w:r>
      <w:r>
        <w:rPr>
          <w:rFonts w:ascii="NimbusRomNo9L" w:hAnsi="NimbusRomNo9L" w:eastAsia="NimbusRomNo9L"/>
          <w:b w:val="0"/>
          <w:i w:val="0"/>
          <w:color w:val="000000"/>
          <w:sz w:val="16"/>
        </w:rPr>
        <w:t xml:space="preserve"> "Concept Drift in URL-Based Phishing Detection: A Temporal Evaluation", Author Name.</w:t>
      </w:r>
    </w:p>
    <w:p>
      <w:pPr>
        <w:autoSpaceDN w:val="0"/>
        <w:autoSpaceDE w:val="0"/>
        <w:widowControl/>
        <w:spacing w:line="270" w:lineRule="exact" w:before="500" w:after="246"/>
        <w:ind w:left="0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Table 3. F1 by evaluation block and model (fixed-training design: trained on block 1, evaluated on blocks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2 through 6, at increasing temporal distance).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48.0000000000001" w:type="dxa"/>
      </w:tblPr>
      <w:tblGrid>
        <w:gridCol w:w="536"/>
        <w:gridCol w:w="536"/>
        <w:gridCol w:w="536"/>
        <w:gridCol w:w="536"/>
        <w:gridCol w:w="536"/>
        <w:gridCol w:w="536"/>
        <w:gridCol w:w="536"/>
        <w:gridCol w:w="536"/>
        <w:gridCol w:w="536"/>
        <w:gridCol w:w="536"/>
        <w:gridCol w:w="536"/>
        <w:gridCol w:w="536"/>
        <w:gridCol w:w="536"/>
        <w:gridCol w:w="536"/>
        <w:gridCol w:w="536"/>
        <w:gridCol w:w="536"/>
        <w:gridCol w:w="536"/>
      </w:tblGrid>
      <w:tr>
        <w:trPr>
          <w:trHeight w:hRule="exact" w:val="366"/>
        </w:trPr>
        <w:tc>
          <w:tcPr>
            <w:tcW w:type="dxa" w:w="500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20"/>
            <w:tcBorders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8"/>
            <w:tcBorders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32"/>
            <w:gridSpan w:val="3"/>
            <w:tcBorders>
              <w:bottom w:sz="4.36000013351440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78" w:after="0"/>
              <w:ind w:left="124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Distance</w:t>
            </w:r>
          </w:p>
        </w:tc>
        <w:tc>
          <w:tcPr>
            <w:tcW w:type="dxa" w:w="160"/>
            <w:tcBorders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20"/>
            <w:gridSpan w:val="2"/>
            <w:tcBorders>
              <w:bottom w:sz="4.36000013351440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78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Random Forest</w:t>
            </w:r>
          </w:p>
        </w:tc>
        <w:tc>
          <w:tcPr>
            <w:tcW w:type="dxa" w:w="1200"/>
            <w:gridSpan w:val="3"/>
            <w:tcBorders>
              <w:bottom w:sz="4.36000013351440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78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XGBoost</w:t>
            </w:r>
          </w:p>
        </w:tc>
        <w:tc>
          <w:tcPr>
            <w:tcW w:type="dxa" w:w="1900"/>
            <w:gridSpan w:val="3"/>
            <w:tcBorders>
              <w:bottom w:sz="4.36000013351440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78" w:after="0"/>
              <w:ind w:left="4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Logistic Regression</w:t>
            </w:r>
          </w:p>
        </w:tc>
        <w:tc>
          <w:tcPr>
            <w:tcW w:type="dxa" w:w="240"/>
            <w:tcBorders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80"/>
            <w:tcBorders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16"/>
        </w:trPr>
        <w:tc>
          <w:tcPr>
            <w:tcW w:type="dxa" w:w="500"/>
            <w:vMerge w:val="restart"/>
            <w:tcBorders>
              <w:top w:sz="4.360000133514404" w:val="single" w:color="#000000"/>
              <w:bottom w:sz="6.98400020599365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320"/>
            <w:vMerge w:val="restart"/>
            <w:tcBorders>
              <w:top w:sz="4.360000133514404" w:val="single" w:color="#000000"/>
              <w:bottom w:sz="6.98400020599365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68"/>
            <w:vMerge w:val="restart"/>
            <w:tcBorders>
              <w:top w:sz="4.360000133514404" w:val="single" w:color="#000000"/>
              <w:bottom w:sz="6.98400020599365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732"/>
            <w:gridSpan w:val="3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6" w:after="0"/>
              <w:ind w:left="124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1 (block 2)</w:t>
            </w:r>
          </w:p>
        </w:tc>
        <w:tc>
          <w:tcPr>
            <w:tcW w:type="dxa" w:w="160"/>
            <w:vMerge w:val="restart"/>
            <w:tcBorders>
              <w:top w:sz="4.360000133514404" w:val="single" w:color="#000000"/>
              <w:bottom w:sz="6.98400020599365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420"/>
            <w:gridSpan w:val="2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2"/>
              </w:rPr>
              <w:t>0.9963</w:t>
            </w:r>
          </w:p>
        </w:tc>
        <w:tc>
          <w:tcPr>
            <w:tcW w:type="dxa" w:w="1200"/>
            <w:gridSpan w:val="3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0.9961</w:t>
            </w:r>
          </w:p>
        </w:tc>
        <w:tc>
          <w:tcPr>
            <w:tcW w:type="dxa" w:w="1900"/>
            <w:gridSpan w:val="3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6" w:after="0"/>
              <w:ind w:left="0" w:right="692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0.9944</w:t>
            </w:r>
          </w:p>
        </w:tc>
        <w:tc>
          <w:tcPr>
            <w:tcW w:type="dxa" w:w="240"/>
            <w:vMerge w:val="restart"/>
            <w:tcBorders>
              <w:top w:sz="4.360000133514404" w:val="single" w:color="#000000"/>
              <w:bottom w:sz="6.98400020599365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680"/>
            <w:vMerge w:val="restart"/>
            <w:tcBorders>
              <w:top w:sz="4.360000133514404" w:val="single" w:color="#000000"/>
              <w:bottom w:sz="6.98400020599365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80"/>
        </w:trPr>
        <w:tc>
          <w:tcPr>
            <w:tcW w:type="dxa" w:w="536"/>
            <w:vMerge/>
            <w:tcBorders>
              <w:top w:sz="4.360000133514404" w:val="single" w:color="#000000"/>
              <w:bottom w:sz="6.984000205993652" w:val="single" w:color="#000000"/>
            </w:tcBorders>
          </w:tcPr>
          <w:p/>
        </w:tc>
        <w:tc>
          <w:tcPr>
            <w:tcW w:type="dxa" w:w="536"/>
            <w:vMerge/>
            <w:tcBorders>
              <w:top w:sz="4.360000133514404" w:val="single" w:color="#000000"/>
              <w:bottom w:sz="6.984000205993652" w:val="single" w:color="#000000"/>
            </w:tcBorders>
          </w:tcPr>
          <w:p/>
        </w:tc>
        <w:tc>
          <w:tcPr>
            <w:tcW w:type="dxa" w:w="536"/>
            <w:vMerge/>
            <w:tcBorders>
              <w:top w:sz="4.360000133514404" w:val="single" w:color="#000000"/>
              <w:bottom w:sz="6.984000205993652" w:val="single" w:color="#000000"/>
            </w:tcBorders>
          </w:tcPr>
          <w:p/>
        </w:tc>
        <w:tc>
          <w:tcPr>
            <w:tcW w:type="dxa" w:w="173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6" w:after="0"/>
              <w:ind w:left="124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2 (block 3)</w:t>
            </w:r>
          </w:p>
        </w:tc>
        <w:tc>
          <w:tcPr>
            <w:tcW w:type="dxa" w:w="536"/>
            <w:vMerge/>
            <w:tcBorders>
              <w:top w:sz="4.360000133514404" w:val="single" w:color="#000000"/>
              <w:bottom w:sz="6.984000205993652" w:val="single" w:color="#000000"/>
            </w:tcBorders>
          </w:tcPr>
          <w:p/>
        </w:tc>
        <w:tc>
          <w:tcPr>
            <w:tcW w:type="dxa" w:w="14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2"/>
              </w:rPr>
              <w:t>0.9954</w:t>
            </w:r>
          </w:p>
        </w:tc>
        <w:tc>
          <w:tcPr>
            <w:tcW w:type="dxa" w:w="12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0.9938</w:t>
            </w:r>
          </w:p>
        </w:tc>
        <w:tc>
          <w:tcPr>
            <w:tcW w:type="dxa" w:w="19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6" w:after="0"/>
              <w:ind w:left="0" w:right="692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0.9921</w:t>
            </w:r>
          </w:p>
        </w:tc>
        <w:tc>
          <w:tcPr>
            <w:tcW w:type="dxa" w:w="536"/>
            <w:vMerge/>
            <w:tcBorders>
              <w:top w:sz="4.360000133514404" w:val="single" w:color="#000000"/>
              <w:bottom w:sz="6.984000205993652" w:val="single" w:color="#000000"/>
            </w:tcBorders>
          </w:tcPr>
          <w:p/>
        </w:tc>
        <w:tc>
          <w:tcPr>
            <w:tcW w:type="dxa" w:w="536"/>
            <w:vMerge/>
            <w:tcBorders>
              <w:top w:sz="4.360000133514404" w:val="single" w:color="#000000"/>
              <w:bottom w:sz="6.984000205993652" w:val="single" w:color="#000000"/>
            </w:tcBorders>
          </w:tcPr>
          <w:p/>
        </w:tc>
      </w:tr>
      <w:tr>
        <w:trPr>
          <w:trHeight w:hRule="exact" w:val="280"/>
        </w:trPr>
        <w:tc>
          <w:tcPr>
            <w:tcW w:type="dxa" w:w="536"/>
            <w:vMerge/>
            <w:tcBorders>
              <w:top w:sz="4.360000133514404" w:val="single" w:color="#000000"/>
              <w:bottom w:sz="6.984000205993652" w:val="single" w:color="#000000"/>
            </w:tcBorders>
          </w:tcPr>
          <w:p/>
        </w:tc>
        <w:tc>
          <w:tcPr>
            <w:tcW w:type="dxa" w:w="536"/>
            <w:vMerge/>
            <w:tcBorders>
              <w:top w:sz="4.360000133514404" w:val="single" w:color="#000000"/>
              <w:bottom w:sz="6.984000205993652" w:val="single" w:color="#000000"/>
            </w:tcBorders>
          </w:tcPr>
          <w:p/>
        </w:tc>
        <w:tc>
          <w:tcPr>
            <w:tcW w:type="dxa" w:w="536"/>
            <w:vMerge/>
            <w:tcBorders>
              <w:top w:sz="4.360000133514404" w:val="single" w:color="#000000"/>
              <w:bottom w:sz="6.984000205993652" w:val="single" w:color="#000000"/>
            </w:tcBorders>
          </w:tcPr>
          <w:p/>
        </w:tc>
        <w:tc>
          <w:tcPr>
            <w:tcW w:type="dxa" w:w="173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8" w:after="0"/>
              <w:ind w:left="124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3 (block 4)</w:t>
            </w:r>
          </w:p>
        </w:tc>
        <w:tc>
          <w:tcPr>
            <w:tcW w:type="dxa" w:w="536"/>
            <w:vMerge/>
            <w:tcBorders>
              <w:top w:sz="4.360000133514404" w:val="single" w:color="#000000"/>
              <w:bottom w:sz="6.984000205993652" w:val="single" w:color="#000000"/>
            </w:tcBorders>
          </w:tcPr>
          <w:p/>
        </w:tc>
        <w:tc>
          <w:tcPr>
            <w:tcW w:type="dxa" w:w="14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2"/>
              </w:rPr>
              <w:t>0.9925</w:t>
            </w:r>
          </w:p>
        </w:tc>
        <w:tc>
          <w:tcPr>
            <w:tcW w:type="dxa" w:w="12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8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0.9921</w:t>
            </w:r>
          </w:p>
        </w:tc>
        <w:tc>
          <w:tcPr>
            <w:tcW w:type="dxa" w:w="19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8" w:after="0"/>
              <w:ind w:left="0" w:right="692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0.9876</w:t>
            </w:r>
          </w:p>
        </w:tc>
        <w:tc>
          <w:tcPr>
            <w:tcW w:type="dxa" w:w="536"/>
            <w:vMerge/>
            <w:tcBorders>
              <w:top w:sz="4.360000133514404" w:val="single" w:color="#000000"/>
              <w:bottom w:sz="6.984000205993652" w:val="single" w:color="#000000"/>
            </w:tcBorders>
          </w:tcPr>
          <w:p/>
        </w:tc>
        <w:tc>
          <w:tcPr>
            <w:tcW w:type="dxa" w:w="536"/>
            <w:vMerge/>
            <w:tcBorders>
              <w:top w:sz="4.360000133514404" w:val="single" w:color="#000000"/>
              <w:bottom w:sz="6.984000205993652" w:val="single" w:color="#000000"/>
            </w:tcBorders>
          </w:tcPr>
          <w:p/>
        </w:tc>
      </w:tr>
      <w:tr>
        <w:trPr>
          <w:trHeight w:hRule="exact" w:val="260"/>
        </w:trPr>
        <w:tc>
          <w:tcPr>
            <w:tcW w:type="dxa" w:w="536"/>
            <w:vMerge/>
            <w:tcBorders>
              <w:top w:sz="4.360000133514404" w:val="single" w:color="#000000"/>
              <w:bottom w:sz="6.984000205993652" w:val="single" w:color="#000000"/>
            </w:tcBorders>
          </w:tcPr>
          <w:p/>
        </w:tc>
        <w:tc>
          <w:tcPr>
            <w:tcW w:type="dxa" w:w="536"/>
            <w:vMerge/>
            <w:tcBorders>
              <w:top w:sz="4.360000133514404" w:val="single" w:color="#000000"/>
              <w:bottom w:sz="6.984000205993652" w:val="single" w:color="#000000"/>
            </w:tcBorders>
          </w:tcPr>
          <w:p/>
        </w:tc>
        <w:tc>
          <w:tcPr>
            <w:tcW w:type="dxa" w:w="536"/>
            <w:vMerge/>
            <w:tcBorders>
              <w:top w:sz="4.360000133514404" w:val="single" w:color="#000000"/>
              <w:bottom w:sz="6.984000205993652" w:val="single" w:color="#000000"/>
            </w:tcBorders>
          </w:tcPr>
          <w:p/>
        </w:tc>
        <w:tc>
          <w:tcPr>
            <w:tcW w:type="dxa" w:w="173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8" w:after="0"/>
              <w:ind w:left="124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4 (block 5)</w:t>
            </w:r>
          </w:p>
        </w:tc>
        <w:tc>
          <w:tcPr>
            <w:tcW w:type="dxa" w:w="536"/>
            <w:vMerge/>
            <w:tcBorders>
              <w:top w:sz="4.360000133514404" w:val="single" w:color="#000000"/>
              <w:bottom w:sz="6.984000205993652" w:val="single" w:color="#000000"/>
            </w:tcBorders>
          </w:tcPr>
          <w:p/>
        </w:tc>
        <w:tc>
          <w:tcPr>
            <w:tcW w:type="dxa" w:w="14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2"/>
              </w:rPr>
              <w:t>0.9960</w:t>
            </w:r>
          </w:p>
        </w:tc>
        <w:tc>
          <w:tcPr>
            <w:tcW w:type="dxa" w:w="12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8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0.9952</w:t>
            </w:r>
          </w:p>
        </w:tc>
        <w:tc>
          <w:tcPr>
            <w:tcW w:type="dxa" w:w="19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8" w:after="0"/>
              <w:ind w:left="0" w:right="692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0.9908</w:t>
            </w:r>
          </w:p>
        </w:tc>
        <w:tc>
          <w:tcPr>
            <w:tcW w:type="dxa" w:w="536"/>
            <w:vMerge/>
            <w:tcBorders>
              <w:top w:sz="4.360000133514404" w:val="single" w:color="#000000"/>
              <w:bottom w:sz="6.984000205993652" w:val="single" w:color="#000000"/>
            </w:tcBorders>
          </w:tcPr>
          <w:p/>
        </w:tc>
        <w:tc>
          <w:tcPr>
            <w:tcW w:type="dxa" w:w="536"/>
            <w:vMerge/>
            <w:tcBorders>
              <w:top w:sz="4.360000133514404" w:val="single" w:color="#000000"/>
              <w:bottom w:sz="6.984000205993652" w:val="single" w:color="#000000"/>
            </w:tcBorders>
          </w:tcPr>
          <w:p/>
        </w:tc>
      </w:tr>
      <w:tr>
        <w:trPr>
          <w:trHeight w:hRule="exact" w:val="332"/>
        </w:trPr>
        <w:tc>
          <w:tcPr>
            <w:tcW w:type="dxa" w:w="536"/>
            <w:vMerge/>
            <w:tcBorders>
              <w:top w:sz="4.360000133514404" w:val="single" w:color="#000000"/>
              <w:bottom w:sz="6.984000205993652" w:val="single" w:color="#000000"/>
            </w:tcBorders>
          </w:tcPr>
          <w:p/>
        </w:tc>
        <w:tc>
          <w:tcPr>
            <w:tcW w:type="dxa" w:w="536"/>
            <w:vMerge/>
            <w:tcBorders>
              <w:top w:sz="4.360000133514404" w:val="single" w:color="#000000"/>
              <w:bottom w:sz="6.984000205993652" w:val="single" w:color="#000000"/>
            </w:tcBorders>
          </w:tcPr>
          <w:p/>
        </w:tc>
        <w:tc>
          <w:tcPr>
            <w:tcW w:type="dxa" w:w="536"/>
            <w:vMerge/>
            <w:tcBorders>
              <w:top w:sz="4.360000133514404" w:val="single" w:color="#000000"/>
              <w:bottom w:sz="6.984000205993652" w:val="single" w:color="#000000"/>
            </w:tcBorders>
          </w:tcPr>
          <w:p/>
        </w:tc>
        <w:tc>
          <w:tcPr>
            <w:tcW w:type="dxa" w:w="1732"/>
            <w:gridSpan w:val="3"/>
            <w:tcBorders>
              <w:bottom w:sz="6.98400020599365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0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5 (block 6, worst)</w:t>
            </w:r>
          </w:p>
        </w:tc>
        <w:tc>
          <w:tcPr>
            <w:tcW w:type="dxa" w:w="536"/>
            <w:vMerge/>
            <w:tcBorders>
              <w:top w:sz="4.360000133514404" w:val="single" w:color="#000000"/>
              <w:bottom w:sz="6.984000205993652" w:val="single" w:color="#000000"/>
            </w:tcBorders>
          </w:tcPr>
          <w:p/>
        </w:tc>
        <w:tc>
          <w:tcPr>
            <w:tcW w:type="dxa" w:w="1420"/>
            <w:gridSpan w:val="2"/>
            <w:tcBorders>
              <w:bottom w:sz="6.98400020599365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8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2"/>
              </w:rPr>
              <w:t>0.9916</w:t>
            </w:r>
          </w:p>
        </w:tc>
        <w:tc>
          <w:tcPr>
            <w:tcW w:type="dxa" w:w="1200"/>
            <w:gridSpan w:val="3"/>
            <w:tcBorders>
              <w:bottom w:sz="6.98400020599365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0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0.9902</w:t>
            </w:r>
          </w:p>
        </w:tc>
        <w:tc>
          <w:tcPr>
            <w:tcW w:type="dxa" w:w="1900"/>
            <w:gridSpan w:val="3"/>
            <w:tcBorders>
              <w:bottom w:sz="6.98400020599365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0" w:after="0"/>
              <w:ind w:left="0" w:right="692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0.9842</w:t>
            </w:r>
          </w:p>
        </w:tc>
        <w:tc>
          <w:tcPr>
            <w:tcW w:type="dxa" w:w="536"/>
            <w:vMerge/>
            <w:tcBorders>
              <w:top w:sz="4.360000133514404" w:val="single" w:color="#000000"/>
              <w:bottom w:sz="6.984000205993652" w:val="single" w:color="#000000"/>
            </w:tcBorders>
          </w:tcPr>
          <w:p/>
        </w:tc>
        <w:tc>
          <w:tcPr>
            <w:tcW w:type="dxa" w:w="536"/>
            <w:vMerge/>
            <w:tcBorders>
              <w:top w:sz="4.360000133514404" w:val="single" w:color="#000000"/>
              <w:bottom w:sz="6.984000205993652" w:val="single" w:color="#000000"/>
            </w:tcBorders>
          </w:tcPr>
          <w:p/>
        </w:tc>
      </w:tr>
      <w:tr>
        <w:trPr>
          <w:trHeight w:hRule="exact" w:val="428"/>
        </w:trPr>
        <w:tc>
          <w:tcPr>
            <w:tcW w:type="dxa" w:w="500"/>
            <w:vMerge w:val="restart"/>
            <w:tcBorders>
              <w:top w:sz="6.984000205993652" w:val="single" w:color="#000000"/>
            </w:tcBorders>
            <w:tcMar>
              <w:start w:w="0" w:type="dxa"/>
              <w:end w:w="0" w:type="dxa"/>
            </w:tcMar>
            <w:textDirection w:val="btLr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366" w:after="0"/>
              <w:ind w:left="0" w:right="1386" w:firstLine="0"/>
              <w:jc w:val="right"/>
            </w:pPr>
            <w:r>
              <w:rPr>
                <w:w w:val="101.88221401638455"/>
                <w:rFonts w:ascii="DejaVuSerif" w:hAnsi="DejaVuSerif" w:eastAsia="DejaVuSerif"/>
                <w:b w:val="0"/>
                <w:i w:val="0"/>
                <w:color w:val="000000"/>
                <w:sz w:val="9"/>
              </w:rPr>
              <w:t>F1 Score</w:t>
            </w:r>
          </w:p>
        </w:tc>
        <w:tc>
          <w:tcPr>
            <w:tcW w:type="dxa" w:w="320"/>
            <w:vMerge w:val="restart"/>
            <w:tcBorders>
              <w:top w:sz="6.98400020599365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0" w:lineRule="exact" w:before="538" w:after="0"/>
              <w:ind w:left="0" w:right="0" w:firstLine="0"/>
              <w:jc w:val="center"/>
            </w:pPr>
            <w:r>
              <w:rPr>
                <w:w w:val="103.15574407577515"/>
                <w:rFonts w:ascii="DejaVuSerif" w:hAnsi="DejaVuSerif" w:eastAsia="DejaVuSerif"/>
                <w:b w:val="0"/>
                <w:i w:val="0"/>
                <w:color w:val="000000"/>
                <w:sz w:val="8"/>
              </w:rPr>
              <w:t>0.997</w:t>
            </w:r>
          </w:p>
        </w:tc>
        <w:tc>
          <w:tcPr>
            <w:tcW w:type="dxa" w:w="168"/>
            <w:vMerge w:val="restart"/>
            <w:tcBorders>
              <w:top w:sz="6.98400020599365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2" w:lineRule="exact" w:before="2774" w:after="0"/>
              <w:ind w:left="0" w:right="0" w:firstLine="0"/>
              <w:jc w:val="center"/>
            </w:pPr>
            <w:r>
              <w:rPr>
                <w:w w:val="103.15574407577515"/>
                <w:rFonts w:ascii="DejaVuSerif" w:hAnsi="DejaVuSerif" w:eastAsia="DejaVuSerif"/>
                <w:b w:val="0"/>
                <w:i w:val="0"/>
                <w:color w:val="000000"/>
                <w:sz w:val="8"/>
              </w:rPr>
              <w:t>1</w:t>
            </w:r>
          </w:p>
        </w:tc>
        <w:tc>
          <w:tcPr>
            <w:tcW w:type="dxa" w:w="1732"/>
            <w:gridSpan w:val="3"/>
            <w:tcBorders>
              <w:top w:sz="6.98400020599365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8" w:lineRule="exact" w:before="292" w:after="0"/>
              <w:ind w:left="0" w:right="0" w:firstLine="0"/>
              <w:jc w:val="center"/>
            </w:pPr>
            <w:r>
              <w:rPr>
                <w:w w:val="96.78810967339409"/>
                <w:rFonts w:ascii="DejaVuSerif" w:hAnsi="DejaVuSerif" w:eastAsia="DejaVuSerif"/>
                <w:b w:val="0"/>
                <w:i w:val="0"/>
                <w:color w:val="000000"/>
                <w:sz w:val="9"/>
              </w:rPr>
              <w:t>Random Forest</w:t>
            </w:r>
          </w:p>
        </w:tc>
        <w:tc>
          <w:tcPr>
            <w:tcW w:type="dxa" w:w="160"/>
            <w:vMerge w:val="restart"/>
            <w:tcBorders>
              <w:top w:sz="6.98400020599365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2" w:lineRule="exact" w:before="2774" w:after="0"/>
              <w:ind w:left="0" w:right="0" w:firstLine="0"/>
              <w:jc w:val="center"/>
            </w:pPr>
            <w:r>
              <w:rPr>
                <w:w w:val="103.15574407577515"/>
                <w:rFonts w:ascii="DejaVuSerif" w:hAnsi="DejaVuSerif" w:eastAsia="DejaVuSerif"/>
                <w:b w:val="0"/>
                <w:i w:val="0"/>
                <w:color w:val="000000"/>
                <w:sz w:val="8"/>
              </w:rPr>
              <w:t>5</w:t>
            </w:r>
          </w:p>
        </w:tc>
        <w:tc>
          <w:tcPr>
            <w:tcW w:type="dxa" w:w="2620"/>
            <w:gridSpan w:val="5"/>
            <w:tcBorders>
              <w:top w:sz="6.98400020599365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8" w:lineRule="exact" w:before="292" w:after="0"/>
              <w:ind w:left="0" w:right="902" w:firstLine="0"/>
              <w:jc w:val="right"/>
            </w:pPr>
            <w:r>
              <w:rPr>
                <w:w w:val="96.78810967339409"/>
                <w:rFonts w:ascii="DejaVuSerif" w:hAnsi="DejaVuSerif" w:eastAsia="DejaVuSerif"/>
                <w:b w:val="0"/>
                <w:i w:val="0"/>
                <w:color w:val="000000"/>
                <w:sz w:val="9"/>
              </w:rPr>
              <w:t>XGBoost</w:t>
            </w:r>
          </w:p>
        </w:tc>
        <w:tc>
          <w:tcPr>
            <w:tcW w:type="dxa" w:w="1900"/>
            <w:gridSpan w:val="3"/>
            <w:tcBorders>
              <w:top w:sz="6.98400020599365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8" w:lineRule="exact" w:before="292" w:after="0"/>
              <w:ind w:left="0" w:right="28" w:firstLine="0"/>
              <w:jc w:val="right"/>
            </w:pPr>
            <w:r>
              <w:rPr>
                <w:w w:val="96.78810967339409"/>
                <w:rFonts w:ascii="DejaVuSerif" w:hAnsi="DejaVuSerif" w:eastAsia="DejaVuSerif"/>
                <w:b w:val="0"/>
                <w:i w:val="0"/>
                <w:color w:val="000000"/>
                <w:sz w:val="9"/>
              </w:rPr>
              <w:t>Logistic Regression</w:t>
            </w:r>
          </w:p>
        </w:tc>
        <w:tc>
          <w:tcPr>
            <w:tcW w:type="dxa" w:w="240"/>
            <w:vMerge w:val="restart"/>
            <w:tcBorders>
              <w:top w:sz="6.98400020599365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2" w:lineRule="exact" w:before="2774" w:after="0"/>
              <w:ind w:left="0" w:right="0" w:firstLine="0"/>
              <w:jc w:val="left"/>
            </w:pPr>
            <w:r>
              <w:rPr>
                <w:w w:val="103.15574407577515"/>
                <w:rFonts w:ascii="DejaVuSerif" w:hAnsi="DejaVuSerif" w:eastAsia="DejaVuSerif"/>
                <w:b w:val="0"/>
                <w:i w:val="0"/>
                <w:color w:val="000000"/>
                <w:sz w:val="8"/>
              </w:rPr>
              <w:t>4</w:t>
            </w:r>
          </w:p>
        </w:tc>
        <w:tc>
          <w:tcPr>
            <w:tcW w:type="dxa" w:w="680"/>
            <w:vMerge w:val="restart"/>
            <w:tcBorders>
              <w:top w:sz="6.98400020599365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2" w:lineRule="exact" w:before="2774" w:after="0"/>
              <w:ind w:left="0" w:right="400" w:firstLine="0"/>
              <w:jc w:val="right"/>
            </w:pPr>
            <w:r>
              <w:rPr>
                <w:w w:val="103.15574407577515"/>
                <w:rFonts w:ascii="DejaVuSerif" w:hAnsi="DejaVuSerif" w:eastAsia="DejaVuSerif"/>
                <w:b w:val="0"/>
                <w:i w:val="0"/>
                <w:color w:val="000000"/>
                <w:sz w:val="8"/>
              </w:rPr>
              <w:t>5</w:t>
            </w:r>
          </w:p>
        </w:tc>
      </w:tr>
      <w:tr>
        <w:trPr>
          <w:trHeight w:hRule="exact" w:val="314"/>
        </w:trPr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1732"/>
            <w:gridSpan w:val="3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12" w:lineRule="exact" w:before="2028" w:after="0"/>
              <w:ind w:left="128" w:right="0" w:firstLine="0"/>
              <w:jc w:val="left"/>
            </w:pPr>
            <w:r>
              <w:rPr>
                <w:w w:val="97.42487072944641"/>
                <w:rFonts w:ascii="DejaVuSerif" w:hAnsi="DejaVuSerif" w:eastAsia="DejaVuSerif"/>
                <w:b w:val="0"/>
                <w:i w:val="0"/>
                <w:color w:val="000000"/>
                <w:sz w:val="8"/>
              </w:rPr>
              <w:t>Sliding window</w:t>
            </w:r>
          </w:p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2620"/>
            <w:gridSpan w:val="5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" w:after="0"/>
              <w:ind w:left="44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371600" cy="14859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85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2" w:lineRule="exact" w:before="2338" w:after="0"/>
              <w:ind w:left="0" w:right="194" w:firstLine="0"/>
              <w:jc w:val="right"/>
            </w:pPr>
            <w:r>
              <w:rPr>
                <w:w w:val="103.15574407577515"/>
                <w:rFonts w:ascii="DejaVuSerif" w:hAnsi="DejaVuSerif" w:eastAsia="DejaVuSerif"/>
                <w:b w:val="0"/>
                <w:i w:val="0"/>
                <w:color w:val="000000"/>
                <w:sz w:val="8"/>
              </w:rPr>
              <w:t>1</w:t>
            </w:r>
          </w:p>
        </w:tc>
        <w:tc>
          <w:tcPr>
            <w:tcW w:type="dxa" w:w="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2" w:lineRule="exact" w:before="2338" w:after="0"/>
              <w:ind w:left="0" w:right="0" w:firstLine="0"/>
              <w:jc w:val="center"/>
            </w:pPr>
            <w:r>
              <w:rPr>
                <w:w w:val="103.15574407577515"/>
                <w:rFonts w:ascii="DejaVuSerif" w:hAnsi="DejaVuSerif" w:eastAsia="DejaVuSerif"/>
                <w:b w:val="0"/>
                <w:i w:val="0"/>
                <w:color w:val="000000"/>
                <w:sz w:val="8"/>
              </w:rPr>
              <w:t>2</w:t>
            </w:r>
          </w:p>
        </w:tc>
        <w:tc>
          <w:tcPr>
            <w:tcW w:type="dxa" w:w="7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2" w:lineRule="exact" w:before="2338" w:after="0"/>
              <w:ind w:left="0" w:right="436" w:firstLine="0"/>
              <w:jc w:val="right"/>
            </w:pPr>
            <w:r>
              <w:rPr>
                <w:w w:val="103.15574407577515"/>
                <w:rFonts w:ascii="DejaVuSerif" w:hAnsi="DejaVuSerif" w:eastAsia="DejaVuSerif"/>
                <w:b w:val="0"/>
                <w:i w:val="0"/>
                <w:color w:val="000000"/>
                <w:sz w:val="8"/>
              </w:rPr>
              <w:t>3</w:t>
            </w:r>
          </w:p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</w:tr>
      <w:tr>
        <w:trPr>
          <w:trHeight w:hRule="exact" w:val="270"/>
        </w:trPr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0" w:lineRule="exact" w:before="74" w:after="0"/>
              <w:ind w:left="0" w:right="0" w:firstLine="0"/>
              <w:jc w:val="center"/>
            </w:pPr>
            <w:r>
              <w:rPr>
                <w:w w:val="103.15574407577515"/>
                <w:rFonts w:ascii="DejaVuSerif" w:hAnsi="DejaVuSerif" w:eastAsia="DejaVuSerif"/>
                <w:b w:val="0"/>
                <w:i w:val="0"/>
                <w:color w:val="000000"/>
                <w:sz w:val="8"/>
              </w:rPr>
              <w:t>0.996</w:t>
            </w:r>
          </w:p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1608"/>
            <w:gridSpan w:val="3"/>
            <w:vMerge/>
            <w:tcBorders/>
          </w:tcPr>
          <w:p/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2680"/>
            <w:gridSpan w:val="5"/>
            <w:vMerge/>
            <w:tcBorders/>
          </w:tcPr>
          <w:p/>
        </w:tc>
        <w:tc>
          <w:tcPr>
            <w:tcW w:type="dxa" w:w="536"/>
            <w:vMerge/>
            <w:tcBorders/>
          </w:tcPr>
          <w:p/>
        </w:tc>
        <w:tc>
          <w:tcPr>
            <w:tcW w:type="dxa" w:w="536"/>
            <w:vMerge/>
            <w:tcBorders/>
          </w:tcPr>
          <w:p/>
        </w:tc>
        <w:tc>
          <w:tcPr>
            <w:tcW w:type="dxa" w:w="536"/>
            <w:vMerge/>
            <w:tcBorders/>
          </w:tcPr>
          <w:p/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</w:tr>
      <w:tr>
        <w:trPr>
          <w:trHeight w:hRule="exact" w:val="268"/>
        </w:trPr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0" w:lineRule="exact" w:before="74" w:after="0"/>
              <w:ind w:left="0" w:right="0" w:firstLine="0"/>
              <w:jc w:val="center"/>
            </w:pPr>
            <w:r>
              <w:rPr>
                <w:w w:val="103.15574407577515"/>
                <w:rFonts w:ascii="DejaVuSerif" w:hAnsi="DejaVuSerif" w:eastAsia="DejaVuSerif"/>
                <w:b w:val="0"/>
                <w:i w:val="0"/>
                <w:color w:val="000000"/>
                <w:sz w:val="8"/>
              </w:rPr>
              <w:t>0.995</w:t>
            </w:r>
          </w:p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1608"/>
            <w:gridSpan w:val="3"/>
            <w:vMerge/>
            <w:tcBorders/>
          </w:tcPr>
          <w:p/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2680"/>
            <w:gridSpan w:val="5"/>
            <w:vMerge/>
            <w:tcBorders/>
          </w:tcPr>
          <w:p/>
        </w:tc>
        <w:tc>
          <w:tcPr>
            <w:tcW w:type="dxa" w:w="536"/>
            <w:vMerge/>
            <w:tcBorders/>
          </w:tcPr>
          <w:p/>
        </w:tc>
        <w:tc>
          <w:tcPr>
            <w:tcW w:type="dxa" w:w="536"/>
            <w:vMerge/>
            <w:tcBorders/>
          </w:tcPr>
          <w:p/>
        </w:tc>
        <w:tc>
          <w:tcPr>
            <w:tcW w:type="dxa" w:w="536"/>
            <w:vMerge/>
            <w:tcBorders/>
          </w:tcPr>
          <w:p/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</w:tr>
      <w:tr>
        <w:trPr>
          <w:trHeight w:hRule="exact" w:val="270"/>
        </w:trPr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0" w:lineRule="exact" w:before="76" w:after="0"/>
              <w:ind w:left="0" w:right="0" w:firstLine="0"/>
              <w:jc w:val="center"/>
            </w:pPr>
            <w:r>
              <w:rPr>
                <w:w w:val="103.15574407577515"/>
                <w:rFonts w:ascii="DejaVuSerif" w:hAnsi="DejaVuSerif" w:eastAsia="DejaVuSerif"/>
                <w:b w:val="0"/>
                <w:i w:val="0"/>
                <w:color w:val="000000"/>
                <w:sz w:val="8"/>
              </w:rPr>
              <w:t>0.994</w:t>
            </w:r>
          </w:p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1608"/>
            <w:gridSpan w:val="3"/>
            <w:vMerge/>
            <w:tcBorders/>
          </w:tcPr>
          <w:p/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2680"/>
            <w:gridSpan w:val="5"/>
            <w:vMerge/>
            <w:tcBorders/>
          </w:tcPr>
          <w:p/>
        </w:tc>
        <w:tc>
          <w:tcPr>
            <w:tcW w:type="dxa" w:w="536"/>
            <w:vMerge/>
            <w:tcBorders/>
          </w:tcPr>
          <w:p/>
        </w:tc>
        <w:tc>
          <w:tcPr>
            <w:tcW w:type="dxa" w:w="536"/>
            <w:vMerge/>
            <w:tcBorders/>
          </w:tcPr>
          <w:p/>
        </w:tc>
        <w:tc>
          <w:tcPr>
            <w:tcW w:type="dxa" w:w="536"/>
            <w:vMerge/>
            <w:tcBorders/>
          </w:tcPr>
          <w:p/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</w:tr>
      <w:tr>
        <w:trPr>
          <w:trHeight w:hRule="exact" w:val="270"/>
        </w:trPr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0" w:lineRule="exact" w:before="76" w:after="0"/>
              <w:ind w:left="0" w:right="0" w:firstLine="0"/>
              <w:jc w:val="center"/>
            </w:pPr>
            <w:r>
              <w:rPr>
                <w:w w:val="103.15574407577515"/>
                <w:rFonts w:ascii="DejaVuSerif" w:hAnsi="DejaVuSerif" w:eastAsia="DejaVuSerif"/>
                <w:b w:val="0"/>
                <w:i w:val="0"/>
                <w:color w:val="000000"/>
                <w:sz w:val="8"/>
              </w:rPr>
              <w:t>0.993</w:t>
            </w:r>
          </w:p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1608"/>
            <w:gridSpan w:val="3"/>
            <w:vMerge/>
            <w:tcBorders/>
          </w:tcPr>
          <w:p/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2680"/>
            <w:gridSpan w:val="5"/>
            <w:vMerge/>
            <w:tcBorders/>
          </w:tcPr>
          <w:p/>
        </w:tc>
        <w:tc>
          <w:tcPr>
            <w:tcW w:type="dxa" w:w="536"/>
            <w:vMerge/>
            <w:tcBorders/>
          </w:tcPr>
          <w:p/>
        </w:tc>
        <w:tc>
          <w:tcPr>
            <w:tcW w:type="dxa" w:w="536"/>
            <w:vMerge/>
            <w:tcBorders/>
          </w:tcPr>
          <w:p/>
        </w:tc>
        <w:tc>
          <w:tcPr>
            <w:tcW w:type="dxa" w:w="536"/>
            <w:vMerge/>
            <w:tcBorders/>
          </w:tcPr>
          <w:p/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</w:tr>
      <w:tr>
        <w:trPr>
          <w:trHeight w:hRule="exact" w:val="270"/>
        </w:trPr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0" w:lineRule="exact" w:before="76" w:after="0"/>
              <w:ind w:left="0" w:right="0" w:firstLine="0"/>
              <w:jc w:val="center"/>
            </w:pPr>
            <w:r>
              <w:rPr>
                <w:w w:val="103.15574407577515"/>
                <w:rFonts w:ascii="DejaVuSerif" w:hAnsi="DejaVuSerif" w:eastAsia="DejaVuSerif"/>
                <w:b w:val="0"/>
                <w:i w:val="0"/>
                <w:color w:val="000000"/>
                <w:sz w:val="8"/>
              </w:rPr>
              <w:t>0.992</w:t>
            </w:r>
          </w:p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1608"/>
            <w:gridSpan w:val="3"/>
            <w:vMerge/>
            <w:tcBorders/>
          </w:tcPr>
          <w:p/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2680"/>
            <w:gridSpan w:val="5"/>
            <w:vMerge/>
            <w:tcBorders/>
          </w:tcPr>
          <w:p/>
        </w:tc>
        <w:tc>
          <w:tcPr>
            <w:tcW w:type="dxa" w:w="536"/>
            <w:vMerge/>
            <w:tcBorders/>
          </w:tcPr>
          <w:p/>
        </w:tc>
        <w:tc>
          <w:tcPr>
            <w:tcW w:type="dxa" w:w="536"/>
            <w:vMerge/>
            <w:tcBorders/>
          </w:tcPr>
          <w:p/>
        </w:tc>
        <w:tc>
          <w:tcPr>
            <w:tcW w:type="dxa" w:w="536"/>
            <w:vMerge/>
            <w:tcBorders/>
          </w:tcPr>
          <w:p/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</w:tr>
      <w:tr>
        <w:trPr>
          <w:trHeight w:hRule="exact" w:val="270"/>
        </w:trPr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0" w:lineRule="exact" w:before="76" w:after="0"/>
              <w:ind w:left="0" w:right="0" w:firstLine="0"/>
              <w:jc w:val="center"/>
            </w:pPr>
            <w:r>
              <w:rPr>
                <w:w w:val="103.15574407577515"/>
                <w:rFonts w:ascii="DejaVuSerif" w:hAnsi="DejaVuSerif" w:eastAsia="DejaVuSerif"/>
                <w:b w:val="0"/>
                <w:i w:val="0"/>
                <w:color w:val="000000"/>
                <w:sz w:val="8"/>
              </w:rPr>
              <w:t>0.991</w:t>
            </w:r>
          </w:p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1608"/>
            <w:gridSpan w:val="3"/>
            <w:vMerge/>
            <w:tcBorders/>
          </w:tcPr>
          <w:p/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2680"/>
            <w:gridSpan w:val="5"/>
            <w:vMerge/>
            <w:tcBorders/>
          </w:tcPr>
          <w:p/>
        </w:tc>
        <w:tc>
          <w:tcPr>
            <w:tcW w:type="dxa" w:w="536"/>
            <w:vMerge/>
            <w:tcBorders/>
          </w:tcPr>
          <w:p/>
        </w:tc>
        <w:tc>
          <w:tcPr>
            <w:tcW w:type="dxa" w:w="536"/>
            <w:vMerge/>
            <w:tcBorders/>
          </w:tcPr>
          <w:p/>
        </w:tc>
        <w:tc>
          <w:tcPr>
            <w:tcW w:type="dxa" w:w="536"/>
            <w:vMerge/>
            <w:tcBorders/>
          </w:tcPr>
          <w:p/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</w:tr>
      <w:tr>
        <w:trPr>
          <w:trHeight w:hRule="exact" w:val="210"/>
        </w:trPr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3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0" w:lineRule="exact" w:before="76" w:after="0"/>
              <w:ind w:left="0" w:right="0" w:firstLine="0"/>
              <w:jc w:val="center"/>
            </w:pPr>
            <w:r>
              <w:rPr>
                <w:w w:val="103.15574407577515"/>
                <w:rFonts w:ascii="DejaVuSerif" w:hAnsi="DejaVuSerif" w:eastAsia="DejaVuSerif"/>
                <w:b w:val="0"/>
                <w:i w:val="0"/>
                <w:color w:val="000000"/>
                <w:sz w:val="8"/>
              </w:rPr>
              <w:t>0.990</w:t>
            </w:r>
          </w:p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1608"/>
            <w:gridSpan w:val="3"/>
            <w:vMerge/>
            <w:tcBorders/>
          </w:tcPr>
          <w:p/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2680"/>
            <w:gridSpan w:val="5"/>
            <w:vMerge/>
            <w:tcBorders/>
          </w:tcPr>
          <w:p/>
        </w:tc>
        <w:tc>
          <w:tcPr>
            <w:tcW w:type="dxa" w:w="536"/>
            <w:vMerge/>
            <w:tcBorders/>
          </w:tcPr>
          <w:p/>
        </w:tc>
        <w:tc>
          <w:tcPr>
            <w:tcW w:type="dxa" w:w="536"/>
            <w:vMerge/>
            <w:tcBorders/>
          </w:tcPr>
          <w:p/>
        </w:tc>
        <w:tc>
          <w:tcPr>
            <w:tcW w:type="dxa" w:w="536"/>
            <w:vMerge/>
            <w:tcBorders/>
          </w:tcPr>
          <w:p/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</w:tr>
      <w:tr>
        <w:trPr>
          <w:trHeight w:hRule="exact" w:val="164"/>
        </w:trPr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536"/>
            <w:vMerge/>
            <w:tcBorders/>
          </w:tcPr>
          <w:p/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173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14" w:lineRule="exact" w:before="2" w:after="0"/>
              <w:ind w:left="128" w:right="0" w:firstLine="0"/>
              <w:jc w:val="left"/>
            </w:pPr>
            <w:r>
              <w:rPr>
                <w:w w:val="97.42487072944641"/>
                <w:rFonts w:ascii="DejaVuSerif" w:hAnsi="DejaVuSerif" w:eastAsia="DejaVuSerif"/>
                <w:b w:val="0"/>
                <w:i w:val="0"/>
                <w:color w:val="000000"/>
                <w:sz w:val="8"/>
              </w:rPr>
              <w:t>Cumulative retraining</w:t>
            </w:r>
          </w:p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2680"/>
            <w:gridSpan w:val="5"/>
            <w:vMerge/>
            <w:tcBorders/>
          </w:tcPr>
          <w:p/>
        </w:tc>
        <w:tc>
          <w:tcPr>
            <w:tcW w:type="dxa" w:w="536"/>
            <w:vMerge/>
            <w:tcBorders/>
          </w:tcPr>
          <w:p/>
        </w:tc>
        <w:tc>
          <w:tcPr>
            <w:tcW w:type="dxa" w:w="536"/>
            <w:vMerge/>
            <w:tcBorders/>
          </w:tcPr>
          <w:p/>
        </w:tc>
        <w:tc>
          <w:tcPr>
            <w:tcW w:type="dxa" w:w="536"/>
            <w:vMerge/>
            <w:tcBorders/>
          </w:tcPr>
          <w:p/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</w:tr>
      <w:tr>
        <w:trPr>
          <w:trHeight w:hRule="exact" w:val="52"/>
        </w:trPr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536"/>
            <w:vMerge/>
            <w:tcBorders/>
          </w:tcPr>
          <w:p/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65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2" w:lineRule="exact" w:before="32" w:after="0"/>
              <w:ind w:left="0" w:right="212" w:firstLine="0"/>
              <w:jc w:val="right"/>
            </w:pPr>
            <w:r>
              <w:rPr>
                <w:w w:val="103.15574407577515"/>
                <w:rFonts w:ascii="DejaVuSerif" w:hAnsi="DejaVuSerif" w:eastAsia="DejaVuSerif"/>
                <w:b w:val="0"/>
                <w:i w:val="0"/>
                <w:color w:val="000000"/>
                <w:sz w:val="8"/>
              </w:rPr>
              <w:t>2</w:t>
            </w:r>
          </w:p>
        </w:tc>
        <w:tc>
          <w:tcPr>
            <w:tcW w:type="dxa" w:w="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2" w:lineRule="exact" w:before="32" w:after="0"/>
              <w:ind w:left="0" w:right="0" w:firstLine="0"/>
              <w:jc w:val="center"/>
            </w:pPr>
            <w:r>
              <w:rPr>
                <w:w w:val="103.15574407577515"/>
                <w:rFonts w:ascii="DejaVuSerif" w:hAnsi="DejaVuSerif" w:eastAsia="DejaVuSerif"/>
                <w:b w:val="0"/>
                <w:i w:val="0"/>
                <w:color w:val="000000"/>
                <w:sz w:val="8"/>
              </w:rPr>
              <w:t>3</w:t>
            </w:r>
          </w:p>
        </w:tc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2" w:lineRule="exact" w:before="32" w:after="0"/>
              <w:ind w:left="0" w:right="334" w:firstLine="0"/>
              <w:jc w:val="right"/>
            </w:pPr>
            <w:r>
              <w:rPr>
                <w:w w:val="103.15574407577515"/>
                <w:rFonts w:ascii="DejaVuSerif" w:hAnsi="DejaVuSerif" w:eastAsia="DejaVuSerif"/>
                <w:b w:val="0"/>
                <w:i w:val="0"/>
                <w:color w:val="000000"/>
                <w:sz w:val="8"/>
              </w:rPr>
              <w:t>4</w:t>
            </w:r>
          </w:p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2680"/>
            <w:gridSpan w:val="5"/>
            <w:vMerge/>
            <w:tcBorders/>
          </w:tcPr>
          <w:p/>
        </w:tc>
        <w:tc>
          <w:tcPr>
            <w:tcW w:type="dxa" w:w="536"/>
            <w:vMerge/>
            <w:tcBorders/>
          </w:tcPr>
          <w:p/>
        </w:tc>
        <w:tc>
          <w:tcPr>
            <w:tcW w:type="dxa" w:w="536"/>
            <w:vMerge/>
            <w:tcBorders/>
          </w:tcPr>
          <w:p/>
        </w:tc>
        <w:tc>
          <w:tcPr>
            <w:tcW w:type="dxa" w:w="536"/>
            <w:vMerge/>
            <w:tcBorders/>
          </w:tcPr>
          <w:p/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</w:tr>
      <w:tr>
        <w:trPr>
          <w:trHeight w:hRule="exact" w:val="102"/>
        </w:trPr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536"/>
            <w:vMerge/>
            <w:tcBorders/>
          </w:tcPr>
          <w:p/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536"/>
            <w:vMerge/>
            <w:tcBorders/>
          </w:tcPr>
          <w:p/>
        </w:tc>
        <w:tc>
          <w:tcPr>
            <w:tcW w:type="dxa" w:w="536"/>
            <w:vMerge/>
            <w:tcBorders/>
          </w:tcPr>
          <w:p/>
        </w:tc>
        <w:tc>
          <w:tcPr>
            <w:tcW w:type="dxa" w:w="536"/>
            <w:vMerge/>
            <w:tcBorders/>
          </w:tcPr>
          <w:p/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2" w:lineRule="exact" w:before="0" w:after="0"/>
              <w:ind w:left="0" w:right="182" w:firstLine="0"/>
              <w:jc w:val="right"/>
            </w:pPr>
            <w:r>
              <w:rPr>
                <w:w w:val="103.15574407577515"/>
                <w:rFonts w:ascii="DejaVuSerif" w:hAnsi="DejaVuSerif" w:eastAsia="DejaVuSerif"/>
                <w:b w:val="0"/>
                <w:i w:val="0"/>
                <w:color w:val="000000"/>
                <w:sz w:val="8"/>
              </w:rPr>
              <w:t>1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2" w:lineRule="exact" w:before="0" w:after="0"/>
              <w:ind w:left="0" w:right="344" w:firstLine="0"/>
              <w:jc w:val="right"/>
            </w:pPr>
            <w:r>
              <w:rPr>
                <w:w w:val="103.15574407577515"/>
                <w:rFonts w:ascii="DejaVuSerif" w:hAnsi="DejaVuSerif" w:eastAsia="DejaVuSerif"/>
                <w:b w:val="0"/>
                <w:i w:val="0"/>
                <w:color w:val="000000"/>
                <w:sz w:val="8"/>
              </w:rPr>
              <w:t>2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2" w:lineRule="exact" w:before="0" w:after="0"/>
              <w:ind w:left="82" w:right="0" w:firstLine="0"/>
              <w:jc w:val="left"/>
            </w:pPr>
            <w:r>
              <w:rPr>
                <w:w w:val="103.15574407577515"/>
                <w:rFonts w:ascii="DejaVuSerif" w:hAnsi="DejaVuSerif" w:eastAsia="DejaVuSerif"/>
                <w:b w:val="0"/>
                <w:i w:val="0"/>
                <w:color w:val="000000"/>
                <w:sz w:val="8"/>
              </w:rPr>
              <w:t>3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2" w:lineRule="exact" w:before="0" w:after="0"/>
              <w:ind w:left="0" w:right="0" w:firstLine="0"/>
              <w:jc w:val="center"/>
            </w:pPr>
            <w:r>
              <w:rPr>
                <w:w w:val="103.15574407577515"/>
                <w:rFonts w:ascii="DejaVuSerif" w:hAnsi="DejaVuSerif" w:eastAsia="DejaVuSerif"/>
                <w:b w:val="0"/>
                <w:i w:val="0"/>
                <w:color w:val="000000"/>
                <w:sz w:val="8"/>
              </w:rPr>
              <w:t>4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2" w:lineRule="exact" w:before="0" w:after="0"/>
              <w:ind w:left="0" w:right="108" w:firstLine="0"/>
              <w:jc w:val="right"/>
            </w:pPr>
            <w:r>
              <w:rPr>
                <w:w w:val="103.15574407577515"/>
                <w:rFonts w:ascii="DejaVuSerif" w:hAnsi="DejaVuSerif" w:eastAsia="DejaVuSerif"/>
                <w:b w:val="0"/>
                <w:i w:val="0"/>
                <w:color w:val="000000"/>
                <w:sz w:val="8"/>
              </w:rPr>
              <w:t>5</w:t>
            </w:r>
          </w:p>
        </w:tc>
        <w:tc>
          <w:tcPr>
            <w:tcW w:type="dxa" w:w="536"/>
            <w:vMerge/>
            <w:tcBorders/>
          </w:tcPr>
          <w:p/>
        </w:tc>
        <w:tc>
          <w:tcPr>
            <w:tcW w:type="dxa" w:w="536"/>
            <w:vMerge/>
            <w:tcBorders/>
          </w:tcPr>
          <w:p/>
        </w:tc>
        <w:tc>
          <w:tcPr>
            <w:tcW w:type="dxa" w:w="536"/>
            <w:vMerge/>
            <w:tcBorders/>
          </w:tcPr>
          <w:p/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</w:tr>
      <w:tr>
        <w:trPr>
          <w:trHeight w:hRule="exact" w:val="204"/>
        </w:trPr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536"/>
            <w:vMerge/>
            <w:tcBorders/>
          </w:tcPr>
          <w:p/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173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10" w:after="0"/>
              <w:ind w:left="0" w:right="0" w:firstLine="0"/>
              <w:jc w:val="center"/>
            </w:pPr>
            <w:r>
              <w:rPr>
                <w:w w:val="101.88221401638455"/>
                <w:rFonts w:ascii="DejaVuSerif" w:hAnsi="DejaVuSerif" w:eastAsia="DejaVuSerif"/>
                <w:b w:val="0"/>
                <w:i w:val="0"/>
                <w:color w:val="000000"/>
                <w:sz w:val="9"/>
              </w:rPr>
              <w:t>Evaluated block</w:t>
            </w:r>
          </w:p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262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10" w:after="0"/>
              <w:ind w:left="0" w:right="718" w:firstLine="0"/>
              <w:jc w:val="right"/>
            </w:pPr>
            <w:r>
              <w:rPr>
                <w:w w:val="101.88221401638455"/>
                <w:rFonts w:ascii="DejaVuSerif" w:hAnsi="DejaVuSerif" w:eastAsia="DejaVuSerif"/>
                <w:b w:val="0"/>
                <w:i w:val="0"/>
                <w:color w:val="000000"/>
                <w:sz w:val="9"/>
              </w:rPr>
              <w:t>Evaluated block</w:t>
            </w:r>
          </w:p>
        </w:tc>
        <w:tc>
          <w:tcPr>
            <w:tcW w:type="dxa" w:w="19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10" w:after="0"/>
              <w:ind w:left="0" w:right="90" w:firstLine="0"/>
              <w:jc w:val="right"/>
            </w:pPr>
            <w:r>
              <w:rPr>
                <w:w w:val="101.88221401638455"/>
                <w:rFonts w:ascii="DejaVuSerif" w:hAnsi="DejaVuSerif" w:eastAsia="DejaVuSerif"/>
                <w:b w:val="0"/>
                <w:i w:val="0"/>
                <w:color w:val="000000"/>
                <w:sz w:val="9"/>
              </w:rPr>
              <w:t>Evaluated block</w:t>
            </w:r>
          </w:p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  <w:tc>
          <w:tcPr>
            <w:tcW w:type="dxa" w:w="536"/>
            <w:vMerge/>
            <w:tcBorders>
              <w:top w:sz="6.984000205993652" w:val="single" w:color="#000000"/>
            </w:tcBorders>
          </w:tcPr>
          <w:p/>
        </w:tc>
      </w:tr>
    </w:tbl>
    <w:p>
      <w:pPr>
        <w:autoSpaceDN w:val="0"/>
        <w:autoSpaceDE w:val="0"/>
        <w:widowControl/>
        <w:spacing w:line="218" w:lineRule="exact" w:before="212" w:after="0"/>
        <w:ind w:left="0" w:right="0" w:firstLine="0"/>
        <w:jc w:val="center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Figure 2. F1 under sliding-window vs. cumulative retraining, by model and evaluation block.</w:t>
      </w:r>
    </w:p>
    <w:p>
      <w:pPr>
        <w:autoSpaceDN w:val="0"/>
        <w:autoSpaceDE w:val="0"/>
        <w:widowControl/>
        <w:spacing w:line="288" w:lineRule="exact" w:before="450" w:after="0"/>
        <w:ind w:left="0" w:right="0" w:firstLine="0"/>
        <w:jc w:val="left"/>
      </w:pP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5 DISCUSSION</w:t>
      </w:r>
    </w:p>
    <w:p>
      <w:pPr>
        <w:autoSpaceDN w:val="0"/>
        <w:autoSpaceDE w:val="0"/>
        <w:widowControl/>
        <w:spacing w:line="240" w:lineRule="exact" w:before="340" w:after="0"/>
        <w:ind w:left="0" w:right="20" w:firstLine="338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>Degradation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from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temporal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displacement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real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statistically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supported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aggregate,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but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far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smaller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in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magnitude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than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field’s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framing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of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concept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drift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first-order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threat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would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suggest,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unglamorous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result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but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one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data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support.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think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this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substantially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explained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design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of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negative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class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rather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than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phishing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detection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task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being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inherently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easy: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our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legitimate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URLs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come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from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Tranco’s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top-ranked,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long-established domains, whose lexical signature (short, clean hostnames, no IP literals, low entropy, absence of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phishing-associated keywords) is so different from phishing URLs that almost any reasonable classifier separates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the two classes with ease, and that separation does not depend much on which specific phishing campaigns happen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to be in the training set. A harder, more realistic negative class, such as newly registered legitimate domains [19]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or domains with URL structures that superficially resemble phishing (long paths, subdomains, marketing redirect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chains),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would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very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plausibly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show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larger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temporal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gap,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because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decision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boundary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would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depend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more on the specific lexical tricks currently in fashion among phishers rather than on the broad, temporally stable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distinction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between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established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domain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hoc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one.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Recent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large-scale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evidence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newly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registered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domains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confirms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this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intuition: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Agarwal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Vasek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[19]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show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that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phishing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campaigns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overwhelmingly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exploit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newly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registered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domains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that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have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not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yet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accumulated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lexical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simplicity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that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top-ranked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Tranco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sites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carry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definition,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finding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that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implies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evaluation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constrained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to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Tranco-class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negatives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will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underestimate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the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operational difficulty of the classification task.</w:t>
      </w:r>
    </w:p>
    <w:p>
      <w:pPr>
        <w:autoSpaceDN w:val="0"/>
        <w:autoSpaceDE w:val="0"/>
        <w:widowControl/>
        <w:spacing w:line="240" w:lineRule="exact" w:before="238" w:after="0"/>
        <w:ind w:left="0" w:right="20" w:firstLine="338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>Direct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feature-level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evidence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supports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this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reading.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distributional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shift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individual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lexical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features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be-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tween the earliest and latest temporal blocks is modest (Figure 3):</w:t>
      </w:r>
      <w:r>
        <w:rPr>
          <w:rFonts w:ascii="NimbusMonL" w:hAnsi="NimbusMonL" w:eastAsia="NimbusMonL"/>
          <w:b w:val="0"/>
          <w:i w:val="0"/>
          <w:color w:val="000000"/>
          <w:sz w:val="20"/>
        </w:rPr>
        <w:t>url_entropy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 shows a small rightward shift,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but</w:t>
      </w:r>
      <w:r>
        <w:rPr>
          <w:rFonts w:ascii="NimbusMonL" w:hAnsi="NimbusMonL" w:eastAsia="NimbusMonL"/>
          <w:b w:val="0"/>
          <w:i w:val="0"/>
          <w:color w:val="000000"/>
          <w:sz w:val="20"/>
        </w:rPr>
        <w:t xml:space="preserve"> url_length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 is essentially unchanged and both</w:t>
      </w:r>
      <w:r>
        <w:rPr>
          <w:rFonts w:ascii="NimbusMonL" w:hAnsi="NimbusMonL" w:eastAsia="NimbusMonL"/>
          <w:b w:val="0"/>
          <w:i w:val="0"/>
          <w:color w:val="000000"/>
          <w:sz w:val="20"/>
        </w:rPr>
        <w:t xml:space="preserve"> num_suspicious_keywords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 and</w:t>
      </w:r>
      <w:r>
        <w:rPr>
          <w:rFonts w:ascii="NimbusMonL" w:hAnsi="NimbusMonL" w:eastAsia="NimbusMonL"/>
          <w:b w:val="0"/>
          <w:i w:val="0"/>
          <w:color w:val="000000"/>
          <w:sz w:val="20"/>
        </w:rPr>
        <w:t xml:space="preserve"> has_ip_address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remain near-constant, low-variance flags throughout the whole period. Feature importance is correspondingly sta-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ble across all six temporal blocks (Figure 4):</w:t>
      </w:r>
      <w:r>
        <w:rPr>
          <w:rFonts w:ascii="NimbusMonL" w:hAnsi="NimbusMonL" w:eastAsia="NimbusMonL"/>
          <w:b w:val="0"/>
          <w:i w:val="0"/>
          <w:color w:val="000000"/>
          <w:sz w:val="20"/>
        </w:rPr>
        <w:t>is_https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,</w:t>
      </w:r>
      <w:r>
        <w:rPr>
          <w:rFonts w:ascii="NimbusMonL" w:hAnsi="NimbusMonL" w:eastAsia="NimbusMonL"/>
          <w:b w:val="0"/>
          <w:i w:val="0"/>
          <w:color w:val="000000"/>
          <w:sz w:val="20"/>
        </w:rPr>
        <w:t xml:space="preserve"> path_length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,</w:t>
      </w:r>
      <w:r>
        <w:rPr>
          <w:rFonts w:ascii="NimbusMonL" w:hAnsi="NimbusMonL" w:eastAsia="NimbusMonL"/>
          <w:b w:val="0"/>
          <w:i w:val="0"/>
          <w:color w:val="000000"/>
          <w:sz w:val="20"/>
        </w:rPr>
        <w:t xml:space="preserve"> num_slashes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, and</w:t>
      </w:r>
      <w:r>
        <w:rPr>
          <w:rFonts w:ascii="NimbusMonL" w:hAnsi="NimbusMonL" w:eastAsia="NimbusMonL"/>
          <w:b w:val="0"/>
          <w:i w:val="0"/>
          <w:color w:val="000000"/>
          <w:sz w:val="20"/>
        </w:rPr>
        <w:t xml:space="preserve"> url_length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dominate in every block, with no block introducing a qualitatively different top feature. The model is not relying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on a fragile, campaign-specific signal that erodes over time; it is relying on a small set of structural URL properties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that stay informative because the negative class’s lexical signature stays put.</w:t>
      </w:r>
    </w:p>
    <w:p>
      <w:pPr>
        <w:autoSpaceDN w:val="0"/>
        <w:autoSpaceDE w:val="0"/>
        <w:widowControl/>
        <w:spacing w:line="240" w:lineRule="exact" w:before="238" w:after="0"/>
        <w:ind w:left="0" w:right="20" w:firstLine="338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>Because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these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four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features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are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also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plausible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artifacts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of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how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legitimate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class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was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constructed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(Tranco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supplies bare domains, which are structurally shorter and path-free compared to full phishing URLs), we directly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tested whether they are necessary for the near-ceiling performance by re-running the fixed-training design (block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1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versus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blocks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2–6)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with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all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four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removed,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leaving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28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features.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Table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4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shows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result: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F1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drops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3.3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to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4.1 percentage points across the three models (e.g., random forest: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0.9943 to 0.9617 on average across displaced</w:t>
      </w:r>
    </w:p>
    <w:p>
      <w:pPr>
        <w:sectPr>
          <w:pgSz w:w="11909" w:h="16834"/>
          <w:pgMar w:top="332" w:right="1390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p>
      <w:pPr>
        <w:autoSpaceDN w:val="0"/>
        <w:autoSpaceDE w:val="0"/>
        <w:widowControl/>
        <w:spacing w:line="160" w:lineRule="exact" w:before="0" w:after="532"/>
        <w:ind w:left="0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16"/>
        </w:rPr>
        <w:t>Jordanian Journal of Computers and Information Technology (JJCIT), Vol. 12, No. X, 2026.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68.0000000000001" w:type="dxa"/>
      </w:tblPr>
      <w:tblGrid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</w:tblGrid>
      <w:tr>
        <w:trPr>
          <w:trHeight w:hRule="exact" w:val="238"/>
        </w:trPr>
        <w:tc>
          <w:tcPr>
            <w:tcW w:type="dxa" w:w="1080"/>
            <w:gridSpan w:val="3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268" w:after="0"/>
              <w:ind w:left="0" w:right="34" w:firstLine="0"/>
              <w:jc w:val="right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0.025</w:t>
            </w:r>
          </w:p>
        </w:tc>
        <w:tc>
          <w:tcPr>
            <w:tcW w:type="dxa" w:w="3060"/>
            <w:gridSpan w:val="8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0" w:after="0"/>
              <w:ind w:left="0" w:right="0" w:firstLine="0"/>
              <w:jc w:val="center"/>
            </w:pPr>
            <w:r>
              <w:rPr>
                <w:w w:val="102.15508143107097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url_length</w:t>
            </w:r>
          </w:p>
        </w:tc>
        <w:tc>
          <w:tcPr>
            <w:tcW w:type="dxa" w:w="480"/>
            <w:gridSpan w:val="3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624" w:after="0"/>
              <w:ind w:left="0" w:right="40" w:firstLine="0"/>
              <w:jc w:val="right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8</w:t>
            </w:r>
          </w:p>
        </w:tc>
        <w:tc>
          <w:tcPr>
            <w:tcW w:type="dxa" w:w="350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0" w:after="0"/>
              <w:ind w:left="704" w:right="0" w:firstLine="0"/>
              <w:jc w:val="left"/>
            </w:pPr>
            <w:r>
              <w:rPr>
                <w:w w:val="102.15508143107097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num_suspicious_keywords</w:t>
            </w:r>
          </w:p>
        </w:tc>
      </w:tr>
      <w:tr>
        <w:trPr>
          <w:trHeight w:hRule="exact" w:val="320"/>
        </w:trPr>
        <w:tc>
          <w:tcPr>
            <w:tcW w:type="dxa" w:w="1302"/>
            <w:gridSpan w:val="3"/>
            <w:vMerge/>
            <w:tcBorders/>
          </w:tcPr>
          <w:p/>
        </w:tc>
        <w:tc>
          <w:tcPr>
            <w:tcW w:type="dxa" w:w="3060"/>
            <w:gridSpan w:val="8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0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6.00000000000023" w:type="dxa"/>
            </w:tblPr>
            <w:tblGrid>
              <w:gridCol w:w="235"/>
              <w:gridCol w:w="235"/>
              <w:gridCol w:w="235"/>
              <w:gridCol w:w="235"/>
              <w:gridCol w:w="235"/>
              <w:gridCol w:w="235"/>
              <w:gridCol w:w="235"/>
              <w:gridCol w:w="235"/>
              <w:gridCol w:w="235"/>
              <w:gridCol w:w="235"/>
              <w:gridCol w:w="235"/>
              <w:gridCol w:w="235"/>
              <w:gridCol w:w="235"/>
            </w:tblGrid>
            <w:tr>
              <w:trPr>
                <w:trHeight w:hRule="exact" w:val="70"/>
              </w:trPr>
              <w:tc>
                <w:tcPr>
                  <w:tcW w:type="dxa" w:w="90"/>
                  <w:vMerge w:val="restart"/>
                  <w:tcBorders>
                    <w:start w:sz="4.129216194152832" w:val="single" w:color="#000000"/>
                    <w:end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46"/>
                  <w:gridSpan w:val="6"/>
                  <w:vMerge w:val="restart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46"/>
                  <w:vMerge w:val="restart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2"/>
                  <w:vMerge w:val="restart"/>
                  <w:tcBorders>
                    <w:start w:sz="4.129216194152832" w:val="single" w:color="#AFB0AF"/>
                    <w:top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02"/>
                  <w:tcBorders>
                    <w:top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46"/>
                  <w:vMerge w:val="restart"/>
                  <w:tcBorders>
                    <w:start w:sz="4.129216194152832" w:val="single" w:color="#AFB0AF"/>
                    <w:end w:sz="4.129216194152832" w:val="single" w:color="#AFB0AF"/>
                    <w:bottom w:sz="5.161520004272461" w:val="single" w:color="#CBCCCB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52" w:lineRule="exact" w:before="0" w:after="0"/>
                    <w:ind w:left="144" w:right="0" w:firstLine="0"/>
                    <w:jc w:val="right"/>
                  </w:pPr>
                  <w:r>
                    <w:rPr>
                      <w:w w:val="103.23040008544922"/>
                      <w:rFonts w:ascii="DejaVuSerif" w:hAnsi="DejaVuSerif" w:eastAsia="DejaVuSerif"/>
                      <w:b w:val="0"/>
                      <w:i w:val="0"/>
                      <w:color w:val="000000"/>
                      <w:sz w:val="10"/>
                    </w:rPr>
                    <w:t xml:space="preserve">Block </w:t>
                  </w:r>
                  <w:r>
                    <w:rPr>
                      <w:w w:val="103.23040008544922"/>
                      <w:rFonts w:ascii="DejaVuSerif" w:hAnsi="DejaVuSerif" w:eastAsia="DejaVuSerif"/>
                      <w:b w:val="0"/>
                      <w:i w:val="0"/>
                      <w:color w:val="000000"/>
                      <w:sz w:val="10"/>
                    </w:rPr>
                    <w:t xml:space="preserve">Block </w:t>
                  </w:r>
                </w:p>
              </w:tc>
              <w:tc>
                <w:tcPr>
                  <w:tcW w:type="dxa" w:w="544"/>
                  <w:vMerge w:val="restart"/>
                  <w:tcBorders>
                    <w:start w:sz="4.129216194152832" w:val="single" w:color="#AFB0AF"/>
                    <w:end w:sz="4.129216194152832" w:val="single" w:color="#AFB0AF"/>
                    <w:bottom w:sz="5.161520004272461" w:val="single" w:color="#CBCCCB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52" w:lineRule="exact" w:before="0" w:after="0"/>
                    <w:ind w:left="0" w:right="0" w:firstLine="0"/>
                    <w:jc w:val="center"/>
                  </w:pPr>
                  <w:r>
                    <w:rPr>
                      <w:w w:val="103.23040008544922"/>
                      <w:rFonts w:ascii="DejaVuSerif" w:hAnsi="DejaVuSerif" w:eastAsia="DejaVuSerif"/>
                      <w:b w:val="0"/>
                      <w:i w:val="0"/>
                      <w:color w:val="000000"/>
                      <w:sz w:val="10"/>
                    </w:rPr>
                    <w:t xml:space="preserve">1 (earliest </w:t>
                  </w:r>
                  <w:r>
                    <w:rPr>
                      <w:w w:val="103.23040008544922"/>
                      <w:rFonts w:ascii="DejaVuSerif" w:hAnsi="DejaVuSerif" w:eastAsia="DejaVuSerif"/>
                      <w:b w:val="0"/>
                      <w:i w:val="0"/>
                      <w:color w:val="000000"/>
                      <w:sz w:val="10"/>
                    </w:rPr>
                    <w:t>6 (latest)</w:t>
                  </w:r>
                </w:p>
              </w:tc>
              <w:tc>
                <w:tcPr>
                  <w:tcW w:type="dxa" w:w="78"/>
                  <w:vMerge w:val="restart"/>
                  <w:tcBorders>
                    <w:start w:sz="4.129216194152832" w:val="single" w:color="#AFB0AF"/>
                    <w:end w:sz="5.161520004272461" w:val="single" w:color="#CBCCCB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50" w:lineRule="exact" w:before="0" w:after="0"/>
                    <w:ind w:left="0" w:right="0" w:firstLine="0"/>
                    <w:jc w:val="center"/>
                  </w:pPr>
                  <w:r>
                    <w:rPr>
                      <w:w w:val="103.23040008544922"/>
                      <w:rFonts w:ascii="DejaVuSerif" w:hAnsi="DejaVuSerif" w:eastAsia="DejaVuSerif"/>
                      <w:b w:val="0"/>
                      <w:i w:val="0"/>
                      <w:color w:val="000000"/>
                      <w:sz w:val="10"/>
                    </w:rPr>
                    <w:t>)</w:t>
                  </w:r>
                </w:p>
              </w:tc>
            </w:tr>
            <w:tr>
              <w:trPr>
                <w:trHeight w:hRule="exact" w:val="154"/>
              </w:trPr>
              <w:tc>
                <w:tcPr>
                  <w:tcW w:type="dxa" w:w="235"/>
                  <w:vMerge/>
                  <w:tcBorders>
                    <w:start w:sz="4.129216194152832" w:val="single" w:color="#000000"/>
                    <w:end w:sz="4.129216194152832" w:val="single" w:color="#AFB0AF"/>
                  </w:tcBorders>
                </w:tcPr>
                <w:p/>
              </w:tc>
              <w:tc>
                <w:tcPr>
                  <w:tcW w:type="dxa" w:w="1410"/>
                  <w:gridSpan w:val="6"/>
                  <w:vMerge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</w:tcPr>
                <w:p/>
              </w:tc>
              <w:tc>
                <w:tcPr>
                  <w:tcW w:type="dxa" w:w="235"/>
                  <w:vMerge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</w:tcPr>
                <w:p/>
              </w:tc>
              <w:tc>
                <w:tcPr>
                  <w:tcW w:type="dxa" w:w="235"/>
                  <w:vMerge/>
                  <w:tcBorders>
                    <w:start w:sz="4.129216194152832" w:val="single" w:color="#AFB0AF"/>
                    <w:top w:sz="4.129216194152832" w:val="single" w:color="#AFB0AF"/>
                    <w:bottom w:sz="4.129216194152832" w:val="single" w:color="#AFB0AF"/>
                  </w:tcBorders>
                </w:tcPr>
                <w:p/>
              </w:tc>
              <w:tc>
                <w:tcPr>
                  <w:tcW w:type="dxa" w:w="102"/>
                  <w:tcBorders>
                    <w:start w:sz="5.161520004272461" w:val="single" w:color="#CBCCCB"/>
                    <w:end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35"/>
                  <w:vMerge/>
                  <w:tcBorders>
                    <w:start w:sz="4.129216194152832" w:val="single" w:color="#AFB0AF"/>
                    <w:end w:sz="4.129216194152832" w:val="single" w:color="#AFB0AF"/>
                    <w:bottom w:sz="5.161520004272461" w:val="single" w:color="#CBCCCB"/>
                  </w:tcBorders>
                </w:tcPr>
                <w:p/>
              </w:tc>
              <w:tc>
                <w:tcPr>
                  <w:tcW w:type="dxa" w:w="235"/>
                  <w:vMerge/>
                  <w:tcBorders>
                    <w:start w:sz="4.129216194152832" w:val="single" w:color="#AFB0AF"/>
                    <w:end w:sz="4.129216194152832" w:val="single" w:color="#AFB0AF"/>
                    <w:bottom w:sz="5.161520004272461" w:val="single" w:color="#CBCCCB"/>
                  </w:tcBorders>
                </w:tcPr>
                <w:p/>
              </w:tc>
              <w:tc>
                <w:tcPr>
                  <w:tcW w:type="dxa" w:w="235"/>
                  <w:vMerge/>
                  <w:tcBorders>
                    <w:start w:sz="4.129216194152832" w:val="single" w:color="#AFB0AF"/>
                    <w:end w:sz="5.161520004272461" w:val="single" w:color="#CBCCCB"/>
                  </w:tcBorders>
                </w:tcPr>
                <w:p/>
              </w:tc>
            </w:tr>
            <w:tr>
              <w:trPr>
                <w:trHeight w:hRule="exact" w:val="102"/>
              </w:trPr>
              <w:tc>
                <w:tcPr>
                  <w:tcW w:type="dxa" w:w="235"/>
                  <w:vMerge/>
                  <w:tcBorders>
                    <w:start w:sz="4.129216194152832" w:val="single" w:color="#000000"/>
                    <w:end w:sz="4.129216194152832" w:val="single" w:color="#AFB0AF"/>
                  </w:tcBorders>
                </w:tcPr>
                <w:p/>
              </w:tc>
              <w:tc>
                <w:tcPr>
                  <w:tcW w:type="dxa" w:w="1410"/>
                  <w:gridSpan w:val="6"/>
                  <w:vMerge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</w:tcPr>
                <w:p/>
              </w:tc>
              <w:tc>
                <w:tcPr>
                  <w:tcW w:type="dxa" w:w="235"/>
                  <w:vMerge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</w:tcPr>
                <w:p/>
              </w:tc>
              <w:tc>
                <w:tcPr>
                  <w:tcW w:type="dxa" w:w="235"/>
                  <w:vMerge/>
                  <w:tcBorders>
                    <w:start w:sz="4.129216194152832" w:val="single" w:color="#AFB0AF"/>
                    <w:top w:sz="4.129216194152832" w:val="single" w:color="#AFB0AF"/>
                    <w:bottom w:sz="4.129216194152832" w:val="single" w:color="#AFB0AF"/>
                  </w:tcBorders>
                </w:tcPr>
                <w:p/>
              </w:tc>
              <w:tc>
                <w:tcPr>
                  <w:tcW w:type="dxa" w:w="102"/>
                  <w:tcBorders>
                    <w:end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35"/>
                  <w:vMerge/>
                  <w:tcBorders>
                    <w:start w:sz="4.129216194152832" w:val="single" w:color="#AFB0AF"/>
                    <w:end w:sz="4.129216194152832" w:val="single" w:color="#AFB0AF"/>
                    <w:bottom w:sz="5.161520004272461" w:val="single" w:color="#CBCCCB"/>
                  </w:tcBorders>
                </w:tcPr>
                <w:p/>
              </w:tc>
              <w:tc>
                <w:tcPr>
                  <w:tcW w:type="dxa" w:w="235"/>
                  <w:vMerge/>
                  <w:tcBorders>
                    <w:start w:sz="4.129216194152832" w:val="single" w:color="#AFB0AF"/>
                    <w:end w:sz="4.129216194152832" w:val="single" w:color="#AFB0AF"/>
                    <w:bottom w:sz="5.161520004272461" w:val="single" w:color="#CBCCCB"/>
                  </w:tcBorders>
                </w:tcPr>
                <w:p/>
              </w:tc>
              <w:tc>
                <w:tcPr>
                  <w:tcW w:type="dxa" w:w="235"/>
                  <w:vMerge/>
                  <w:tcBorders>
                    <w:start w:sz="4.129216194152832" w:val="single" w:color="#AFB0AF"/>
                    <w:end w:sz="5.161520004272461" w:val="single" w:color="#CBCCCB"/>
                  </w:tcBorders>
                </w:tcPr>
                <w:p/>
              </w:tc>
            </w:tr>
            <w:tr>
              <w:trPr>
                <w:trHeight w:hRule="exact" w:val="128"/>
              </w:trPr>
              <w:tc>
                <w:tcPr>
                  <w:tcW w:type="dxa" w:w="235"/>
                  <w:vMerge/>
                  <w:tcBorders>
                    <w:start w:sz="4.129216194152832" w:val="single" w:color="#000000"/>
                    <w:end w:sz="4.129216194152832" w:val="single" w:color="#AFB0AF"/>
                  </w:tcBorders>
                </w:tcPr>
                <w:p/>
              </w:tc>
              <w:tc>
                <w:tcPr>
                  <w:tcW w:type="dxa" w:w="1410"/>
                  <w:gridSpan w:val="6"/>
                  <w:vMerge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</w:tcPr>
                <w:p/>
              </w:tc>
              <w:tc>
                <w:tcPr>
                  <w:tcW w:type="dxa" w:w="235"/>
                  <w:vMerge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</w:tcPr>
                <w:p/>
              </w:tc>
              <w:tc>
                <w:tcPr>
                  <w:tcW w:type="dxa" w:w="235"/>
                  <w:vMerge/>
                  <w:tcBorders>
                    <w:start w:sz="4.129216194152832" w:val="single" w:color="#AFB0AF"/>
                    <w:top w:sz="4.129216194152832" w:val="single" w:color="#AFB0AF"/>
                    <w:bottom w:sz="4.129216194152832" w:val="single" w:color="#AFB0AF"/>
                  </w:tcBorders>
                </w:tcPr>
                <w:p/>
              </w:tc>
              <w:tc>
                <w:tcPr>
                  <w:tcW w:type="dxa" w:w="235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46"/>
                  <w:tcBorders>
                    <w:start w:sz="4.129216194152832" w:val="single" w:color="#AFB0AF"/>
                    <w:top w:sz="5.161520004272461" w:val="single" w:color="#CBCCCB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44"/>
                  <w:tcBorders>
                    <w:start w:sz="4.129216194152832" w:val="single" w:color="#AFB0AF"/>
                    <w:top w:sz="5.161520004272461" w:val="single" w:color="#CBCCCB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78"/>
                  <w:tcBorders>
                    <w:start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438"/>
              </w:trPr>
              <w:tc>
                <w:tcPr>
                  <w:tcW w:type="dxa" w:w="90"/>
                  <w:tcBorders>
                    <w:start w:sz="4.129216194152832" w:val="single" w:color="#000000"/>
                    <w:end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2"/>
                  <w:tcBorders>
                    <w:start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8"/>
                  <w:tcBorders>
                    <w:end w:sz="23.199999999999818" w:val="single" w:color="#1B4965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16"/>
                  <w:gridSpan w:val="4"/>
                  <w:tcBorders>
                    <w:start w:sz="23.199999999999818" w:val="single" w:color="#1B4965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46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44"/>
                  <w:gridSpan w:val="2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46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4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78"/>
                  <w:tcBorders>
                    <w:start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440"/>
              </w:trPr>
              <w:tc>
                <w:tcPr>
                  <w:tcW w:type="dxa" w:w="90"/>
                  <w:tcBorders>
                    <w:start w:sz="4.129216194152832" w:val="single" w:color="#000000"/>
                    <w:end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2"/>
                  <w:tcBorders>
                    <w:start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8"/>
                  <w:tcBorders>
                    <w:end w:sz="23.199999999999818" w:val="single" w:color="#1B4965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16"/>
                  <w:gridSpan w:val="4"/>
                  <w:tcBorders>
                    <w:start w:sz="23.199999999999818" w:val="single" w:color="#1B4965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46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44"/>
                  <w:gridSpan w:val="2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46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4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78"/>
                  <w:tcBorders>
                    <w:start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440"/>
              </w:trPr>
              <w:tc>
                <w:tcPr>
                  <w:tcW w:type="dxa" w:w="90"/>
                  <w:tcBorders>
                    <w:start w:sz="4.129216194152832" w:val="single" w:color="#000000"/>
                    <w:end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2"/>
                  <w:tcBorders>
                    <w:start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8"/>
                  <w:tcBorders>
                    <w:end w:sz="23.199999999999818" w:val="single" w:color="#1B4965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16"/>
                  <w:gridSpan w:val="4"/>
                  <w:tcBorders>
                    <w:start w:sz="23.199999999999818" w:val="single" w:color="#1B4965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46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44"/>
                  <w:gridSpan w:val="2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46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4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78"/>
                  <w:tcBorders>
                    <w:start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420"/>
              </w:trPr>
              <w:tc>
                <w:tcPr>
                  <w:tcW w:type="dxa" w:w="90"/>
                  <w:tcBorders>
                    <w:start w:sz="4.129216194152832" w:val="single" w:color="#000000"/>
                    <w:end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2"/>
                  <w:tcBorders>
                    <w:start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8"/>
                  <w:tcBorders>
                    <w:end w:sz="23.199999999999818" w:val="single" w:color="#1B4965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2"/>
                  <w:tcBorders>
                    <w:start w:sz="23.199999999999818" w:val="single" w:color="#1B4965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74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90"/>
                  <w:gridSpan w:val="2"/>
                  <w:tcBorders>
                    <w:top w:sz="4.129216194152832" w:val="single" w:color="#AFB0AF"/>
                    <w:end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46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44"/>
                  <w:gridSpan w:val="2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46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4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78"/>
                  <w:tcBorders>
                    <w:start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302"/>
            <w:gridSpan w:val="3"/>
            <w:vMerge/>
            <w:tcBorders/>
          </w:tcPr>
          <w:p/>
        </w:tc>
        <w:tc>
          <w:tcPr>
            <w:tcW w:type="dxa" w:w="3500"/>
            <w:gridSpan w:val="7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0.0" w:type="dxa"/>
            </w:tblPr>
            <w:tblGrid>
              <w:gridCol w:w="350"/>
              <w:gridCol w:w="350"/>
              <w:gridCol w:w="350"/>
              <w:gridCol w:w="350"/>
              <w:gridCol w:w="350"/>
              <w:gridCol w:w="350"/>
              <w:gridCol w:w="350"/>
              <w:gridCol w:w="350"/>
              <w:gridCol w:w="350"/>
              <w:gridCol w:w="350"/>
            </w:tblGrid>
            <w:tr>
              <w:trPr>
                <w:trHeight w:hRule="exact" w:val="442"/>
              </w:trPr>
              <w:tc>
                <w:tcPr>
                  <w:tcW w:type="dxa" w:w="134"/>
                  <w:tcBorders>
                    <w:start w:sz="4.129216194152832" w:val="single" w:color="#000000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"/>
                  <w:tcBorders>
                    <w:start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02"/>
                  <w:tcBorders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8"/>
                  <w:tcBorders>
                    <w:start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4"/>
                  <w:gridSpan w:val="2"/>
                  <w:tcBorders>
                    <w:start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8"/>
                  <w:tcBorders>
                    <w:start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6"/>
                  <w:tcBorders>
                    <w:start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6"/>
                  <w:tcBorders>
                    <w:start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40"/>
                  <w:tcBorders>
                    <w:start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460"/>
              </w:trPr>
              <w:tc>
                <w:tcPr>
                  <w:tcW w:type="dxa" w:w="134"/>
                  <w:tcBorders>
                    <w:start w:sz="4.129216194152832" w:val="single" w:color="#000000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"/>
                  <w:tcBorders>
                    <w:start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02"/>
                  <w:tcBorders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8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4"/>
                  <w:gridSpan w:val="2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8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6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6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40"/>
                  <w:tcBorders>
                    <w:start w:sz="4.129216194152832" w:val="single" w:color="#AFB0AF"/>
                    <w:top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460"/>
              </w:trPr>
              <w:tc>
                <w:tcPr>
                  <w:tcW w:type="dxa" w:w="134"/>
                  <w:tcBorders>
                    <w:start w:sz="4.129216194152832" w:val="single" w:color="#000000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"/>
                  <w:tcBorders>
                    <w:start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02"/>
                  <w:tcBorders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8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4"/>
                  <w:gridSpan w:val="2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8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6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6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40"/>
                  <w:tcBorders>
                    <w:start w:sz="4.129216194152832" w:val="single" w:color="#AFB0AF"/>
                    <w:top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460"/>
              </w:trPr>
              <w:tc>
                <w:tcPr>
                  <w:tcW w:type="dxa" w:w="134"/>
                  <w:tcBorders>
                    <w:start w:sz="4.129216194152832" w:val="single" w:color="#000000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"/>
                  <w:tcBorders>
                    <w:start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02"/>
                  <w:tcBorders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8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4"/>
                  <w:gridSpan w:val="2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8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6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6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40"/>
                  <w:tcBorders>
                    <w:start w:sz="4.129216194152832" w:val="single" w:color="#AFB0AF"/>
                    <w:top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440"/>
              </w:trPr>
              <w:tc>
                <w:tcPr>
                  <w:tcW w:type="dxa" w:w="134"/>
                  <w:tcBorders>
                    <w:start w:sz="4.129216194152832" w:val="single" w:color="#000000"/>
                    <w:top w:sz="4.129216194152832" w:val="single" w:color="#AFB0AF"/>
                    <w:end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"/>
                  <w:tcBorders>
                    <w:start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02"/>
                  <w:tcBorders>
                    <w:top w:sz="4.129216194152832" w:val="single" w:color="#AFB0AF"/>
                    <w:end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8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4"/>
                  <w:gridSpan w:val="2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8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6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6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40"/>
                  <w:tcBorders>
                    <w:start w:sz="4.129216194152832" w:val="single" w:color="#AFB0AF"/>
                    <w:top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420"/>
        </w:trPr>
        <w:tc>
          <w:tcPr>
            <w:tcW w:type="dxa" w:w="10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148" w:after="0"/>
              <w:ind w:left="0" w:right="34" w:firstLine="0"/>
              <w:jc w:val="right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0.020</w:t>
            </w:r>
          </w:p>
        </w:tc>
        <w:tc>
          <w:tcPr>
            <w:tcW w:type="dxa" w:w="3472"/>
            <w:gridSpan w:val="8"/>
            <w:vMerge/>
            <w:tcBorders/>
          </w:tcPr>
          <w:p/>
        </w:tc>
        <w:tc>
          <w:tcPr>
            <w:tcW w:type="dxa" w:w="1302"/>
            <w:gridSpan w:val="3"/>
            <w:vMerge/>
            <w:tcBorders/>
          </w:tcPr>
          <w:p/>
        </w:tc>
        <w:tc>
          <w:tcPr>
            <w:tcW w:type="dxa" w:w="3038"/>
            <w:gridSpan w:val="7"/>
            <w:vMerge/>
            <w:tcBorders/>
          </w:tcPr>
          <w:p/>
        </w:tc>
      </w:tr>
      <w:tr>
        <w:trPr>
          <w:trHeight w:hRule="exact" w:val="900"/>
        </w:trPr>
        <w:tc>
          <w:tcPr>
            <w:tcW w:type="dxa" w:w="680"/>
            <w:tcBorders/>
            <w:tcMar>
              <w:start w:w="0" w:type="dxa"/>
              <w:end w:w="0" w:type="dxa"/>
            </w:tcMar>
            <w:textDirection w:val="btLr"/>
          </w:tcPr>
          <w:p>
            <w:pPr>
              <w:autoSpaceDN w:val="0"/>
              <w:autoSpaceDE w:val="0"/>
              <w:widowControl/>
              <w:spacing w:line="188" w:lineRule="exact" w:before="488" w:after="0"/>
              <w:ind w:left="0" w:right="0" w:firstLine="0"/>
              <w:jc w:val="center"/>
            </w:pPr>
            <w:r>
              <w:rPr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Density</w:t>
            </w:r>
          </w:p>
        </w:tc>
        <w:tc>
          <w:tcPr>
            <w:tcW w:type="dxa" w:w="40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168" w:after="0"/>
              <w:ind w:left="0" w:right="0" w:firstLine="0"/>
              <w:jc w:val="center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0.015</w:t>
            </w:r>
          </w:p>
          <w:p>
            <w:pPr>
              <w:autoSpaceDN w:val="0"/>
              <w:autoSpaceDE w:val="0"/>
              <w:widowControl/>
              <w:spacing w:line="168" w:lineRule="exact" w:before="270" w:after="0"/>
              <w:ind w:left="0" w:right="0" w:firstLine="0"/>
              <w:jc w:val="center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0.010</w:t>
            </w:r>
          </w:p>
        </w:tc>
        <w:tc>
          <w:tcPr>
            <w:tcW w:type="dxa" w:w="3472"/>
            <w:gridSpan w:val="8"/>
            <w:vMerge/>
            <w:tcBorders/>
          </w:tcPr>
          <w:p/>
        </w:tc>
        <w:tc>
          <w:tcPr>
            <w:tcW w:type="dxa" w:w="348"/>
            <w:gridSpan w:val="2"/>
            <w:tcBorders/>
            <w:shd w:fill="ffffff"/>
            <w:tcMar>
              <w:start w:w="0" w:type="dxa"/>
              <w:end w:w="0" w:type="dxa"/>
            </w:tcMar>
            <w:textDirection w:val="btLr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8" w:lineRule="exact" w:before="140" w:after="0"/>
              <w:ind w:left="0" w:right="0" w:firstLine="0"/>
              <w:jc w:val="center"/>
            </w:pPr>
            <w:r>
              <w:rPr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Density</w:t>
            </w:r>
          </w:p>
        </w:tc>
        <w:tc>
          <w:tcPr>
            <w:tcW w:type="dxa" w:w="132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106" w:after="0"/>
              <w:ind w:left="0" w:right="0" w:firstLine="0"/>
              <w:jc w:val="center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6</w:t>
            </w:r>
          </w:p>
          <w:p>
            <w:pPr>
              <w:autoSpaceDN w:val="0"/>
              <w:autoSpaceDE w:val="0"/>
              <w:widowControl/>
              <w:spacing w:line="168" w:lineRule="exact" w:before="292" w:after="0"/>
              <w:ind w:left="0" w:right="0" w:firstLine="0"/>
              <w:jc w:val="center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4</w:t>
            </w:r>
          </w:p>
        </w:tc>
        <w:tc>
          <w:tcPr>
            <w:tcW w:type="dxa" w:w="3038"/>
            <w:gridSpan w:val="7"/>
            <w:vMerge/>
            <w:tcBorders/>
          </w:tcPr>
          <w:p/>
        </w:tc>
      </w:tr>
      <w:tr>
        <w:trPr>
          <w:trHeight w:hRule="exact" w:val="300"/>
        </w:trPr>
        <w:tc>
          <w:tcPr>
            <w:tcW w:type="dxa" w:w="10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130" w:after="0"/>
              <w:ind w:left="0" w:right="34" w:firstLine="0"/>
              <w:jc w:val="right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0.005</w:t>
            </w:r>
          </w:p>
        </w:tc>
        <w:tc>
          <w:tcPr>
            <w:tcW w:type="dxa" w:w="3472"/>
            <w:gridSpan w:val="8"/>
            <w:vMerge/>
            <w:tcBorders/>
          </w:tcPr>
          <w:p/>
        </w:tc>
        <w:tc>
          <w:tcPr>
            <w:tcW w:type="dxa" w:w="48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126" w:after="0"/>
              <w:ind w:left="0" w:right="40" w:firstLine="0"/>
              <w:jc w:val="right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2</w:t>
            </w:r>
          </w:p>
        </w:tc>
        <w:tc>
          <w:tcPr>
            <w:tcW w:type="dxa" w:w="3038"/>
            <w:gridSpan w:val="7"/>
            <w:vMerge/>
            <w:tcBorders/>
          </w:tcPr>
          <w:p/>
        </w:tc>
      </w:tr>
      <w:tr>
        <w:trPr>
          <w:trHeight w:hRule="exact" w:val="420"/>
        </w:trPr>
        <w:tc>
          <w:tcPr>
            <w:tcW w:type="dxa" w:w="1080"/>
            <w:gridSpan w:val="3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286" w:after="0"/>
              <w:ind w:left="0" w:right="34" w:firstLine="0"/>
              <w:jc w:val="right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0.000</w:t>
            </w:r>
          </w:p>
        </w:tc>
        <w:tc>
          <w:tcPr>
            <w:tcW w:type="dxa" w:w="3472"/>
            <w:gridSpan w:val="8"/>
            <w:vMerge/>
            <w:tcBorders/>
          </w:tcPr>
          <w:p/>
        </w:tc>
        <w:tc>
          <w:tcPr>
            <w:tcW w:type="dxa" w:w="480"/>
            <w:gridSpan w:val="3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286" w:after="0"/>
              <w:ind w:left="0" w:right="40" w:firstLine="0"/>
              <w:jc w:val="right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0</w:t>
            </w:r>
          </w:p>
        </w:tc>
        <w:tc>
          <w:tcPr>
            <w:tcW w:type="dxa" w:w="3038"/>
            <w:gridSpan w:val="7"/>
            <w:vMerge/>
            <w:tcBorders/>
          </w:tcPr>
          <w:p/>
        </w:tc>
      </w:tr>
      <w:tr>
        <w:trPr>
          <w:trHeight w:hRule="exact" w:val="182"/>
        </w:trPr>
        <w:tc>
          <w:tcPr>
            <w:tcW w:type="dxa" w:w="1302"/>
            <w:gridSpan w:val="3"/>
            <w:vMerge/>
            <w:tcBorders/>
          </w:tcPr>
          <w:p/>
        </w:tc>
        <w:tc>
          <w:tcPr>
            <w:tcW w:type="dxa" w:w="3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0" w:after="0"/>
              <w:ind w:left="0" w:right="0" w:firstLine="0"/>
              <w:jc w:val="center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0</w:t>
            </w:r>
          </w:p>
        </w:tc>
        <w:tc>
          <w:tcPr>
            <w:tcW w:type="dxa" w:w="5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0" w:after="0"/>
              <w:ind w:left="0" w:right="78" w:firstLine="0"/>
              <w:jc w:val="right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200</w:t>
            </w:r>
          </w:p>
        </w:tc>
        <w:tc>
          <w:tcPr>
            <w:tcW w:type="dxa" w:w="4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0" w:after="0"/>
              <w:ind w:left="0" w:right="12" w:firstLine="0"/>
              <w:jc w:val="right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400</w:t>
            </w:r>
          </w:p>
        </w:tc>
        <w:tc>
          <w:tcPr>
            <w:tcW w:type="dxa" w:w="694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0" w:after="0"/>
              <w:ind w:left="0" w:right="162" w:firstLine="0"/>
              <w:jc w:val="right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600</w:t>
            </w:r>
          </w:p>
        </w:tc>
        <w:tc>
          <w:tcPr>
            <w:tcW w:type="dxa" w:w="546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0" w:after="0"/>
              <w:ind w:left="0" w:right="0" w:firstLine="0"/>
              <w:jc w:val="center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800</w:t>
            </w:r>
          </w:p>
        </w:tc>
        <w:tc>
          <w:tcPr>
            <w:tcW w:type="dxa" w:w="4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0" w:after="0"/>
              <w:ind w:left="0" w:right="40" w:firstLine="0"/>
              <w:jc w:val="right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1000</w:t>
            </w:r>
          </w:p>
        </w:tc>
        <w:tc>
          <w:tcPr>
            <w:tcW w:type="dxa" w:w="1302"/>
            <w:gridSpan w:val="3"/>
            <w:vMerge/>
            <w:tcBorders/>
          </w:tcPr>
          <w:p/>
        </w:tc>
        <w:tc>
          <w:tcPr>
            <w:tcW w:type="dxa" w:w="4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0" w:after="0"/>
              <w:ind w:left="0" w:right="0" w:firstLine="0"/>
              <w:jc w:val="center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0.0</w:t>
            </w:r>
          </w:p>
        </w:tc>
        <w:tc>
          <w:tcPr>
            <w:tcW w:type="dxa" w:w="4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0" w:after="0"/>
              <w:ind w:left="0" w:right="0" w:firstLine="0"/>
              <w:jc w:val="center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0.5</w:t>
            </w:r>
          </w:p>
        </w:tc>
        <w:tc>
          <w:tcPr>
            <w:tcW w:type="dxa" w:w="5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0" w:after="0"/>
              <w:ind w:left="104" w:right="0" w:firstLine="0"/>
              <w:jc w:val="left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1.0</w:t>
            </w:r>
          </w:p>
        </w:tc>
        <w:tc>
          <w:tcPr>
            <w:tcW w:type="dxa" w:w="5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0" w:after="0"/>
              <w:ind w:left="52" w:right="0" w:firstLine="0"/>
              <w:jc w:val="left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1.5</w:t>
            </w:r>
          </w:p>
        </w:tc>
        <w:tc>
          <w:tcPr>
            <w:tcW w:type="dxa" w:w="3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0" w:after="0"/>
              <w:ind w:left="0" w:right="0" w:firstLine="0"/>
              <w:jc w:val="left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2.0</w:t>
            </w:r>
          </w:p>
        </w:tc>
        <w:tc>
          <w:tcPr>
            <w:tcW w:type="dxa" w:w="3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0" w:after="0"/>
              <w:ind w:left="0" w:right="0" w:firstLine="0"/>
              <w:jc w:val="center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2.5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0" w:after="0"/>
              <w:ind w:left="150" w:right="0" w:firstLine="0"/>
              <w:jc w:val="left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3.0</w:t>
            </w:r>
          </w:p>
        </w:tc>
      </w:tr>
      <w:tr>
        <w:trPr>
          <w:trHeight w:hRule="exact" w:val="50"/>
        </w:trPr>
        <w:tc>
          <w:tcPr>
            <w:tcW w:type="dxa" w:w="1302"/>
            <w:gridSpan w:val="3"/>
            <w:vMerge/>
            <w:tcBorders/>
          </w:tcPr>
          <w:p/>
        </w:tc>
        <w:tc>
          <w:tcPr>
            <w:tcW w:type="dxa" w:w="3060"/>
            <w:gridSpan w:val="8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" w:after="0"/>
              <w:ind w:left="0" w:right="0" w:firstLine="0"/>
              <w:jc w:val="center"/>
            </w:pPr>
            <w:r>
              <w:rPr>
                <w:w w:val="102.15508143107097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url_entropy</w:t>
            </w:r>
          </w:p>
        </w:tc>
        <w:tc>
          <w:tcPr>
            <w:tcW w:type="dxa" w:w="1302"/>
            <w:gridSpan w:val="3"/>
            <w:vMerge/>
            <w:tcBorders/>
          </w:tcPr>
          <w:p/>
        </w:tc>
        <w:tc>
          <w:tcPr>
            <w:tcW w:type="dxa" w:w="3500"/>
            <w:gridSpan w:val="7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" w:after="0"/>
              <w:ind w:left="0" w:right="1506" w:firstLine="0"/>
              <w:jc w:val="right"/>
            </w:pPr>
            <w:r>
              <w:rPr>
                <w:w w:val="102.15508143107097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has_ip_address</w:t>
            </w:r>
          </w:p>
        </w:tc>
      </w:tr>
      <w:tr>
        <w:trPr>
          <w:trHeight w:hRule="exact" w:val="54"/>
        </w:trPr>
        <w:tc>
          <w:tcPr>
            <w:tcW w:type="dxa" w:w="1302"/>
            <w:gridSpan w:val="3"/>
            <w:vMerge/>
            <w:tcBorders/>
          </w:tcPr>
          <w:p/>
        </w:tc>
        <w:tc>
          <w:tcPr>
            <w:tcW w:type="dxa" w:w="3472"/>
            <w:gridSpan w:val="8"/>
            <w:vMerge/>
            <w:tcBorders/>
          </w:tcPr>
          <w:p/>
        </w:tc>
        <w:tc>
          <w:tcPr>
            <w:tcW w:type="dxa" w:w="480"/>
            <w:gridSpan w:val="3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196" w:after="0"/>
              <w:ind w:left="0" w:right="40" w:firstLine="0"/>
              <w:jc w:val="right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30</w:t>
            </w:r>
          </w:p>
        </w:tc>
        <w:tc>
          <w:tcPr>
            <w:tcW w:type="dxa" w:w="3038"/>
            <w:gridSpan w:val="7"/>
            <w:vMerge/>
            <w:tcBorders/>
          </w:tcPr>
          <w:p/>
        </w:tc>
      </w:tr>
      <w:tr>
        <w:trPr>
          <w:trHeight w:hRule="exact" w:val="100"/>
        </w:trPr>
        <w:tc>
          <w:tcPr>
            <w:tcW w:type="dxa" w:w="1080"/>
            <w:gridSpan w:val="3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250" w:after="0"/>
              <w:ind w:left="0" w:right="34" w:firstLine="0"/>
              <w:jc w:val="right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1.6</w:t>
            </w:r>
          </w:p>
        </w:tc>
        <w:tc>
          <w:tcPr>
            <w:tcW w:type="dxa" w:w="3472"/>
            <w:gridSpan w:val="8"/>
            <w:vMerge/>
            <w:tcBorders/>
          </w:tcPr>
          <w:p/>
        </w:tc>
        <w:tc>
          <w:tcPr>
            <w:tcW w:type="dxa" w:w="1302"/>
            <w:gridSpan w:val="3"/>
            <w:vMerge/>
            <w:tcBorders/>
          </w:tcPr>
          <w:p/>
        </w:tc>
        <w:tc>
          <w:tcPr>
            <w:tcW w:type="dxa" w:w="3038"/>
            <w:gridSpan w:val="7"/>
            <w:vMerge/>
            <w:tcBorders/>
          </w:tcPr>
          <w:p/>
        </w:tc>
      </w:tr>
      <w:tr>
        <w:trPr>
          <w:trHeight w:hRule="exact" w:val="52"/>
        </w:trPr>
        <w:tc>
          <w:tcPr>
            <w:tcW w:type="dxa" w:w="1302"/>
            <w:gridSpan w:val="3"/>
            <w:vMerge/>
            <w:tcBorders/>
          </w:tcPr>
          <w:p/>
        </w:tc>
        <w:tc>
          <w:tcPr>
            <w:tcW w:type="dxa" w:w="3060"/>
            <w:gridSpan w:val="8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6.00000000000023" w:type="dxa"/>
            </w:tblPr>
            <w:tblGrid>
              <w:gridCol w:w="122"/>
              <w:gridCol w:w="122"/>
              <w:gridCol w:w="122"/>
              <w:gridCol w:w="122"/>
              <w:gridCol w:w="122"/>
              <w:gridCol w:w="122"/>
              <w:gridCol w:w="122"/>
              <w:gridCol w:w="122"/>
              <w:gridCol w:w="122"/>
              <w:gridCol w:w="122"/>
              <w:gridCol w:w="122"/>
              <w:gridCol w:w="122"/>
              <w:gridCol w:w="122"/>
              <w:gridCol w:w="122"/>
              <w:gridCol w:w="122"/>
              <w:gridCol w:w="122"/>
              <w:gridCol w:w="122"/>
              <w:gridCol w:w="122"/>
              <w:gridCol w:w="122"/>
              <w:gridCol w:w="122"/>
              <w:gridCol w:w="122"/>
              <w:gridCol w:w="122"/>
              <w:gridCol w:w="122"/>
              <w:gridCol w:w="122"/>
              <w:gridCol w:w="122"/>
            </w:tblGrid>
            <w:tr>
              <w:trPr>
                <w:trHeight w:hRule="exact" w:val="222"/>
              </w:trPr>
              <w:tc>
                <w:tcPr>
                  <w:tcW w:type="dxa" w:w="92"/>
                  <w:tcBorders>
                    <w:start w:sz="4.129216194152832" w:val="single" w:color="#000000"/>
                    <w:end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54"/>
                  <w:tcBorders>
                    <w:start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6"/>
                  <w:gridSpan w:val="5"/>
                  <w:tcBorders>
                    <w:start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50"/>
                  <w:gridSpan w:val="5"/>
                  <w:tcBorders>
                    <w:start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54"/>
                  <w:gridSpan w:val="7"/>
                  <w:tcBorders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50"/>
                  <w:gridSpan w:val="4"/>
                  <w:tcBorders>
                    <w:start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54"/>
                  <w:tcBorders>
                    <w:start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50"/>
                  <w:tcBorders>
                    <w:start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256"/>
              </w:trPr>
              <w:tc>
                <w:tcPr>
                  <w:tcW w:type="dxa" w:w="92"/>
                  <w:tcBorders>
                    <w:start w:sz="4.129216194152832" w:val="single" w:color="#000000"/>
                    <w:end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5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6"/>
                  <w:gridSpan w:val="5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0"/>
                  <w:tcBorders>
                    <w:start w:sz="4.129216194152832" w:val="single" w:color="#AFB0AF"/>
                    <w:end w:sz="33.59999999999991" w:val="single" w:color="#5FA8D3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6"/>
                  <w:tcBorders>
                    <w:start w:sz="33.59999999999991" w:val="single" w:color="#5FA8D3"/>
                    <w:end w:sz="33.59999999999991" w:val="single" w:color="#5FA8D3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84"/>
                  <w:gridSpan w:val="3"/>
                  <w:tcBorders>
                    <w:start w:sz="33.59999999999991" w:val="single" w:color="#5FA8D3"/>
                    <w:top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54"/>
                  <w:gridSpan w:val="7"/>
                  <w:tcBorders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50"/>
                  <w:gridSpan w:val="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5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50"/>
                  <w:tcBorders>
                    <w:start w:sz="4.129216194152832" w:val="single" w:color="#AFB0AF"/>
                    <w:top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260"/>
              </w:trPr>
              <w:tc>
                <w:tcPr>
                  <w:tcW w:type="dxa" w:w="92"/>
                  <w:tcBorders>
                    <w:start w:sz="4.129216194152832" w:val="single" w:color="#000000"/>
                    <w:end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5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6"/>
                  <w:gridSpan w:val="5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0"/>
                  <w:tcBorders>
                    <w:start w:sz="4.129216194152832" w:val="single" w:color="#AFB0AF"/>
                    <w:end w:sz="33.59999999999991" w:val="single" w:color="#5FA8D3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6"/>
                  <w:tcBorders>
                    <w:start w:sz="33.59999999999991" w:val="single" w:color="#5FA8D3"/>
                    <w:end w:sz="33.59999999999991" w:val="single" w:color="#5FA8D3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84"/>
                  <w:gridSpan w:val="3"/>
                  <w:tcBorders>
                    <w:start w:sz="33.59999999999991" w:val="single" w:color="#5FA8D3"/>
                    <w:top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54"/>
                  <w:gridSpan w:val="7"/>
                  <w:tcBorders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50"/>
                  <w:gridSpan w:val="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5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50"/>
                  <w:tcBorders>
                    <w:start w:sz="4.129216194152832" w:val="single" w:color="#AFB0AF"/>
                    <w:top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256"/>
              </w:trPr>
              <w:tc>
                <w:tcPr>
                  <w:tcW w:type="dxa" w:w="92"/>
                  <w:tcBorders>
                    <w:start w:sz="4.129216194152832" w:val="single" w:color="#000000"/>
                    <w:end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5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6"/>
                  <w:gridSpan w:val="5"/>
                  <w:tcBorders>
                    <w:start w:sz="4.129216194152832" w:val="single" w:color="#AFB0AF"/>
                    <w:top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6"/>
                  <w:tcBorders>
                    <w:end w:sz="33.59999999999991" w:val="single" w:color="#5FA8D3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6"/>
                  <w:tcBorders>
                    <w:start w:sz="33.59999999999991" w:val="single" w:color="#5FA8D3"/>
                    <w:end w:sz="33.600000000000136" w:val="single" w:color="#5FA8D3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98"/>
                  <w:gridSpan w:val="2"/>
                  <w:tcBorders>
                    <w:start w:sz="33.600000000000136" w:val="single" w:color="#5FA8D3"/>
                    <w:top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54"/>
                  <w:gridSpan w:val="7"/>
                  <w:tcBorders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50"/>
                  <w:gridSpan w:val="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5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50"/>
                  <w:tcBorders>
                    <w:start w:sz="4.129216194152832" w:val="single" w:color="#AFB0AF"/>
                    <w:top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256"/>
              </w:trPr>
              <w:tc>
                <w:tcPr>
                  <w:tcW w:type="dxa" w:w="92"/>
                  <w:tcBorders>
                    <w:start w:sz="4.129216194152832" w:val="single" w:color="#000000"/>
                    <w:end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5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352"/>
                  <w:gridSpan w:val="4"/>
                  <w:tcBorders>
                    <w:start w:sz="4.129216194152832" w:val="single" w:color="#AFB0AF"/>
                    <w:top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94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6"/>
                  <w:tcBorders>
                    <w:end w:sz="33.600000000000136" w:val="single" w:color="#5FA8D3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8"/>
                  <w:tcBorders>
                    <w:start w:sz="33.600000000000136" w:val="single" w:color="#5FA8D3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10"/>
                  <w:tcBorders>
                    <w:top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54"/>
                  <w:gridSpan w:val="7"/>
                  <w:tcBorders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50"/>
                  <w:gridSpan w:val="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5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50"/>
                  <w:tcBorders>
                    <w:start w:sz="4.129216194152832" w:val="single" w:color="#AFB0AF"/>
                    <w:top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260"/>
              </w:trPr>
              <w:tc>
                <w:tcPr>
                  <w:tcW w:type="dxa" w:w="92"/>
                  <w:tcBorders>
                    <w:start w:sz="4.129216194152832" w:val="single" w:color="#000000"/>
                    <w:end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5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352"/>
                  <w:gridSpan w:val="4"/>
                  <w:tcBorders>
                    <w:start w:sz="4.129216194152832" w:val="single" w:color="#AFB0AF"/>
                    <w:top w:sz="4.129216194152832" w:val="single" w:color="#AFB0AF"/>
                    <w:end w:sz="33.59999999999991" w:val="single" w:color="#5FA8D3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94"/>
                  <w:tcBorders>
                    <w:start w:sz="33.59999999999991" w:val="single" w:color="#5FA8D3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8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10"/>
                  <w:tcBorders>
                    <w:top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4"/>
                  <w:tcBorders>
                    <w:end w:sz="36.0" w:val="single" w:color="#1B4965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390"/>
                  <w:gridSpan w:val="6"/>
                  <w:tcBorders>
                    <w:start w:sz="36.0" w:val="single" w:color="#1B4965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50"/>
                  <w:gridSpan w:val="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5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50"/>
                  <w:tcBorders>
                    <w:start w:sz="4.129216194152832" w:val="single" w:color="#AFB0AF"/>
                    <w:top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258"/>
              </w:trPr>
              <w:tc>
                <w:tcPr>
                  <w:tcW w:type="dxa" w:w="92"/>
                  <w:tcBorders>
                    <w:start w:sz="4.129216194152832" w:val="single" w:color="#000000"/>
                    <w:end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5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352"/>
                  <w:gridSpan w:val="4"/>
                  <w:tcBorders>
                    <w:start w:sz="4.129216194152832" w:val="single" w:color="#AFB0AF"/>
                    <w:top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94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8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10"/>
                  <w:tcBorders>
                    <w:top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4"/>
                  <w:tcBorders>
                    <w:end w:sz="36.0" w:val="single" w:color="#1B4965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390"/>
                  <w:gridSpan w:val="6"/>
                  <w:tcBorders>
                    <w:start w:sz="36.0" w:val="single" w:color="#1B4965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50"/>
                  <w:gridSpan w:val="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5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50"/>
                  <w:tcBorders>
                    <w:start w:sz="4.129216194152832" w:val="single" w:color="#AFB0AF"/>
                    <w:top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256"/>
              </w:trPr>
              <w:tc>
                <w:tcPr>
                  <w:tcW w:type="dxa" w:w="92"/>
                  <w:tcBorders>
                    <w:start w:sz="4.129216194152832" w:val="single" w:color="#000000"/>
                    <w:end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5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66"/>
                  <w:gridSpan w:val="3"/>
                  <w:tcBorders>
                    <w:start w:sz="4.129216194152832" w:val="single" w:color="#AFB0AF"/>
                    <w:top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94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8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10"/>
                  <w:tcBorders>
                    <w:top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4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390"/>
                  <w:gridSpan w:val="6"/>
                  <w:tcBorders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50"/>
                  <w:gridSpan w:val="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5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50"/>
                  <w:tcBorders>
                    <w:start w:sz="4.129216194152832" w:val="single" w:color="#AFB0AF"/>
                    <w:top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238"/>
              </w:trPr>
              <w:tc>
                <w:tcPr>
                  <w:tcW w:type="dxa" w:w="92"/>
                  <w:tcBorders>
                    <w:start w:sz="4.129216194152832" w:val="single" w:color="#000000"/>
                    <w:end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5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94"/>
                  <w:tcBorders>
                    <w:start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94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8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10"/>
                  <w:tcBorders>
                    <w:top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4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4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8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6"/>
                  <w:tcBorders>
                    <w:end w:sz="33.59999999999991" w:val="single" w:color="#5FA8D3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2"/>
                  <w:tcBorders>
                    <w:start w:sz="33.59999999999991" w:val="single" w:color="#5FA8D3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2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8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4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7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04"/>
                  <w:tcBorders>
                    <w:top w:sz="4.129216194152832" w:val="single" w:color="#AFB0AF"/>
                    <w:end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5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50"/>
                  <w:tcBorders>
                    <w:start w:sz="4.129216194152832" w:val="single" w:color="#AFB0AF"/>
                    <w:top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302"/>
            <w:gridSpan w:val="3"/>
            <w:vMerge/>
            <w:tcBorders/>
          </w:tcPr>
          <w:p/>
        </w:tc>
        <w:tc>
          <w:tcPr>
            <w:tcW w:type="dxa" w:w="3038"/>
            <w:gridSpan w:val="7"/>
            <w:vMerge/>
            <w:tcBorders/>
          </w:tcPr>
          <w:p/>
        </w:tc>
      </w:tr>
      <w:tr>
        <w:trPr>
          <w:trHeight w:hRule="exact" w:val="302"/>
        </w:trPr>
        <w:tc>
          <w:tcPr>
            <w:tcW w:type="dxa" w:w="1302"/>
            <w:gridSpan w:val="3"/>
            <w:vMerge/>
            <w:tcBorders/>
          </w:tcPr>
          <w:p/>
        </w:tc>
        <w:tc>
          <w:tcPr>
            <w:tcW w:type="dxa" w:w="3472"/>
            <w:gridSpan w:val="8"/>
            <w:vMerge/>
            <w:tcBorders/>
          </w:tcPr>
          <w:p/>
        </w:tc>
        <w:tc>
          <w:tcPr>
            <w:tcW w:type="dxa" w:w="1302"/>
            <w:gridSpan w:val="3"/>
            <w:vMerge/>
            <w:tcBorders/>
          </w:tcPr>
          <w:p/>
        </w:tc>
        <w:tc>
          <w:tcPr>
            <w:tcW w:type="dxa" w:w="3500"/>
            <w:gridSpan w:val="7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0.0" w:type="dxa"/>
            </w:tblPr>
            <w:tblGrid>
              <w:gridCol w:w="437"/>
              <w:gridCol w:w="437"/>
              <w:gridCol w:w="437"/>
              <w:gridCol w:w="437"/>
              <w:gridCol w:w="437"/>
              <w:gridCol w:w="437"/>
              <w:gridCol w:w="437"/>
              <w:gridCol w:w="437"/>
            </w:tblGrid>
            <w:tr>
              <w:trPr>
                <w:trHeight w:hRule="exact" w:val="360"/>
              </w:trPr>
              <w:tc>
                <w:tcPr>
                  <w:tcW w:type="dxa" w:w="134"/>
                  <w:tcBorders>
                    <w:start w:sz="4.129216194152832" w:val="single" w:color="#000000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"/>
                  <w:tcBorders>
                    <w:start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92"/>
                  <w:tcBorders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36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3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38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3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40"/>
                  <w:tcBorders>
                    <w:start w:sz="4.129216194152832" w:val="single" w:color="#AFB0AF"/>
                    <w:top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364"/>
              </w:trPr>
              <w:tc>
                <w:tcPr>
                  <w:tcW w:type="dxa" w:w="134"/>
                  <w:tcBorders>
                    <w:start w:sz="4.129216194152832" w:val="single" w:color="#000000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"/>
                  <w:tcBorders>
                    <w:start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92"/>
                  <w:tcBorders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36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3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38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3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40"/>
                  <w:tcBorders>
                    <w:start w:sz="4.129216194152832" w:val="single" w:color="#AFB0AF"/>
                    <w:top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362"/>
              </w:trPr>
              <w:tc>
                <w:tcPr>
                  <w:tcW w:type="dxa" w:w="134"/>
                  <w:tcBorders>
                    <w:start w:sz="4.129216194152832" w:val="single" w:color="#000000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"/>
                  <w:tcBorders>
                    <w:start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92"/>
                  <w:tcBorders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36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3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38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3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40"/>
                  <w:tcBorders>
                    <w:start w:sz="4.129216194152832" w:val="single" w:color="#AFB0AF"/>
                    <w:top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362"/>
              </w:trPr>
              <w:tc>
                <w:tcPr>
                  <w:tcW w:type="dxa" w:w="134"/>
                  <w:tcBorders>
                    <w:start w:sz="4.129216194152832" w:val="single" w:color="#000000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"/>
                  <w:tcBorders>
                    <w:start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92"/>
                  <w:tcBorders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36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3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38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3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40"/>
                  <w:tcBorders>
                    <w:start w:sz="4.129216194152832" w:val="single" w:color="#AFB0AF"/>
                    <w:top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360"/>
              </w:trPr>
              <w:tc>
                <w:tcPr>
                  <w:tcW w:type="dxa" w:w="134"/>
                  <w:tcBorders>
                    <w:start w:sz="4.129216194152832" w:val="single" w:color="#000000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"/>
                  <w:tcBorders>
                    <w:start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92"/>
                  <w:tcBorders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36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3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38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3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40"/>
                  <w:tcBorders>
                    <w:start w:sz="4.129216194152832" w:val="single" w:color="#AFB0AF"/>
                    <w:top w:sz="4.129216194152832" w:val="single" w:color="#AFB0AF"/>
                    <w:bottom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342"/>
              </w:trPr>
              <w:tc>
                <w:tcPr>
                  <w:tcW w:type="dxa" w:w="134"/>
                  <w:tcBorders>
                    <w:start w:sz="4.129216194152832" w:val="single" w:color="#000000"/>
                    <w:top w:sz="4.129216194152832" w:val="single" w:color="#AFB0AF"/>
                    <w:end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4"/>
                  <w:tcBorders>
                    <w:start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92"/>
                  <w:tcBorders>
                    <w:top w:sz="4.129216194152832" w:val="single" w:color="#AFB0AF"/>
                    <w:end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36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3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38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34"/>
                  <w:tcBorders>
                    <w:start w:sz="4.129216194152832" w:val="single" w:color="#AFB0AF"/>
                    <w:top w:sz="4.129216194152832" w:val="single" w:color="#AFB0AF"/>
                    <w:end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40"/>
                  <w:tcBorders>
                    <w:start w:sz="4.129216194152832" w:val="single" w:color="#AFB0AF"/>
                    <w:top w:sz="4.129216194152832" w:val="single" w:color="#AFB0A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20"/>
        </w:trPr>
        <w:tc>
          <w:tcPr>
            <w:tcW w:type="dxa" w:w="10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50" w:after="0"/>
              <w:ind w:left="0" w:right="34" w:firstLine="0"/>
              <w:jc w:val="right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1.4</w:t>
            </w:r>
          </w:p>
        </w:tc>
        <w:tc>
          <w:tcPr>
            <w:tcW w:type="dxa" w:w="3472"/>
            <w:gridSpan w:val="8"/>
            <w:vMerge/>
            <w:tcBorders/>
          </w:tcPr>
          <w:p/>
        </w:tc>
        <w:tc>
          <w:tcPr>
            <w:tcW w:type="dxa" w:w="48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48" w:after="0"/>
              <w:ind w:left="0" w:right="40" w:firstLine="0"/>
              <w:jc w:val="right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25</w:t>
            </w:r>
          </w:p>
        </w:tc>
        <w:tc>
          <w:tcPr>
            <w:tcW w:type="dxa" w:w="3038"/>
            <w:gridSpan w:val="7"/>
            <w:vMerge/>
            <w:tcBorders/>
          </w:tcPr>
          <w:p/>
        </w:tc>
      </w:tr>
      <w:tr>
        <w:trPr>
          <w:trHeight w:hRule="exact" w:val="280"/>
        </w:trPr>
        <w:tc>
          <w:tcPr>
            <w:tcW w:type="dxa" w:w="10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92" w:after="0"/>
              <w:ind w:left="0" w:right="34" w:firstLine="0"/>
              <w:jc w:val="right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1.2</w:t>
            </w:r>
          </w:p>
        </w:tc>
        <w:tc>
          <w:tcPr>
            <w:tcW w:type="dxa" w:w="3472"/>
            <w:gridSpan w:val="8"/>
            <w:vMerge/>
            <w:tcBorders/>
          </w:tcPr>
          <w:p/>
        </w:tc>
        <w:tc>
          <w:tcPr>
            <w:tcW w:type="dxa" w:w="300"/>
            <w:vMerge w:val="restart"/>
            <w:tcBorders/>
            <w:shd w:fill="ffffff"/>
            <w:tcMar>
              <w:start w:w="0" w:type="dxa"/>
              <w:end w:w="0" w:type="dxa"/>
            </w:tcMar>
            <w:textDirection w:val="btLr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8" w:lineRule="exact" w:before="66" w:after="0"/>
              <w:ind w:left="8" w:right="0" w:firstLine="0"/>
              <w:jc w:val="left"/>
            </w:pPr>
            <w:r>
              <w:rPr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Density</w:t>
            </w:r>
          </w:p>
        </w:tc>
        <w:tc>
          <w:tcPr>
            <w:tcW w:type="dxa" w:w="180"/>
            <w:gridSpan w:val="2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0" w:after="0"/>
              <w:ind w:left="0" w:right="0" w:firstLine="0"/>
              <w:jc w:val="center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 xml:space="preserve">20 </w:t>
            </w: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15</w:t>
            </w:r>
          </w:p>
        </w:tc>
        <w:tc>
          <w:tcPr>
            <w:tcW w:type="dxa" w:w="3038"/>
            <w:gridSpan w:val="7"/>
            <w:vMerge/>
            <w:tcBorders/>
          </w:tcPr>
          <w:p/>
        </w:tc>
      </w:tr>
      <w:tr>
        <w:trPr>
          <w:trHeight w:hRule="exact" w:val="560"/>
        </w:trPr>
        <w:tc>
          <w:tcPr>
            <w:tcW w:type="dxa" w:w="840"/>
            <w:gridSpan w:val="2"/>
            <w:tcBorders/>
            <w:tcMar>
              <w:start w:w="0" w:type="dxa"/>
              <w:end w:w="0" w:type="dxa"/>
            </w:tcMar>
            <w:textDirection w:val="btLr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8" w:lineRule="exact" w:before="636" w:after="0"/>
              <w:ind w:left="0" w:right="0" w:firstLine="0"/>
              <w:jc w:val="center"/>
            </w:pPr>
            <w:r>
              <w:rPr>
                <w:rFonts w:ascii="DejaVuSerif" w:hAnsi="DejaVuSerif" w:eastAsia="DejaVuSerif"/>
                <w:b w:val="0"/>
                <w:i w:val="0"/>
                <w:color w:val="000000"/>
                <w:sz w:val="13"/>
              </w:rPr>
              <w:t>Density</w:t>
            </w:r>
          </w:p>
        </w:tc>
        <w:tc>
          <w:tcPr>
            <w:tcW w:type="dxa" w:w="2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0" w:after="0"/>
              <w:ind w:left="0" w:right="0" w:firstLine="0"/>
              <w:jc w:val="center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 xml:space="preserve">1.0 </w:t>
            </w: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0.8</w:t>
            </w:r>
          </w:p>
        </w:tc>
        <w:tc>
          <w:tcPr>
            <w:tcW w:type="dxa" w:w="3472"/>
            <w:gridSpan w:val="8"/>
            <w:vMerge/>
            <w:tcBorders/>
          </w:tcPr>
          <w:p/>
        </w:tc>
        <w:tc>
          <w:tcPr>
            <w:tcW w:type="dxa" w:w="434"/>
            <w:vMerge/>
            <w:tcBorders/>
          </w:tcPr>
          <w:p/>
        </w:tc>
        <w:tc>
          <w:tcPr>
            <w:tcW w:type="dxa" w:w="868"/>
            <w:gridSpan w:val="2"/>
            <w:vMerge/>
            <w:tcBorders/>
          </w:tcPr>
          <w:p/>
        </w:tc>
        <w:tc>
          <w:tcPr>
            <w:tcW w:type="dxa" w:w="3038"/>
            <w:gridSpan w:val="7"/>
            <w:vMerge/>
            <w:tcBorders/>
          </w:tcPr>
          <w:p/>
        </w:tc>
      </w:tr>
      <w:tr>
        <w:trPr>
          <w:trHeight w:hRule="exact" w:val="260"/>
        </w:trPr>
        <w:tc>
          <w:tcPr>
            <w:tcW w:type="dxa" w:w="10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24" w:after="0"/>
              <w:ind w:left="0" w:right="34" w:firstLine="0"/>
              <w:jc w:val="right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0.6</w:t>
            </w:r>
          </w:p>
        </w:tc>
        <w:tc>
          <w:tcPr>
            <w:tcW w:type="dxa" w:w="3472"/>
            <w:gridSpan w:val="8"/>
            <w:vMerge/>
            <w:tcBorders/>
          </w:tcPr>
          <w:p/>
        </w:tc>
        <w:tc>
          <w:tcPr>
            <w:tcW w:type="dxa" w:w="48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74" w:after="0"/>
              <w:ind w:left="0" w:right="40" w:firstLine="0"/>
              <w:jc w:val="right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10</w:t>
            </w:r>
          </w:p>
        </w:tc>
        <w:tc>
          <w:tcPr>
            <w:tcW w:type="dxa" w:w="3038"/>
            <w:gridSpan w:val="7"/>
            <w:vMerge/>
            <w:tcBorders/>
          </w:tcPr>
          <w:p/>
        </w:tc>
      </w:tr>
      <w:tr>
        <w:trPr>
          <w:trHeight w:hRule="exact" w:val="220"/>
        </w:trPr>
        <w:tc>
          <w:tcPr>
            <w:tcW w:type="dxa" w:w="10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22" w:after="0"/>
              <w:ind w:left="0" w:right="34" w:firstLine="0"/>
              <w:jc w:val="right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0.4</w:t>
            </w:r>
          </w:p>
        </w:tc>
        <w:tc>
          <w:tcPr>
            <w:tcW w:type="dxa" w:w="3472"/>
            <w:gridSpan w:val="8"/>
            <w:vMerge/>
            <w:tcBorders/>
          </w:tcPr>
          <w:p/>
        </w:tc>
        <w:tc>
          <w:tcPr>
            <w:tcW w:type="dxa" w:w="480"/>
            <w:gridSpan w:val="3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176" w:after="0"/>
              <w:ind w:left="0" w:right="40" w:firstLine="0"/>
              <w:jc w:val="right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5</w:t>
            </w:r>
          </w:p>
        </w:tc>
        <w:tc>
          <w:tcPr>
            <w:tcW w:type="dxa" w:w="3038"/>
            <w:gridSpan w:val="7"/>
            <w:vMerge/>
            <w:tcBorders/>
          </w:tcPr>
          <w:p/>
        </w:tc>
      </w:tr>
      <w:tr>
        <w:trPr>
          <w:trHeight w:hRule="exact" w:val="260"/>
        </w:trPr>
        <w:tc>
          <w:tcPr>
            <w:tcW w:type="dxa" w:w="10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60" w:after="0"/>
              <w:ind w:left="0" w:right="34" w:firstLine="0"/>
              <w:jc w:val="right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0.2</w:t>
            </w:r>
          </w:p>
        </w:tc>
        <w:tc>
          <w:tcPr>
            <w:tcW w:type="dxa" w:w="3472"/>
            <w:gridSpan w:val="8"/>
            <w:vMerge/>
            <w:tcBorders/>
          </w:tcPr>
          <w:p/>
        </w:tc>
        <w:tc>
          <w:tcPr>
            <w:tcW w:type="dxa" w:w="1302"/>
            <w:gridSpan w:val="3"/>
            <w:vMerge/>
            <w:tcBorders/>
          </w:tcPr>
          <w:p/>
        </w:tc>
        <w:tc>
          <w:tcPr>
            <w:tcW w:type="dxa" w:w="3038"/>
            <w:gridSpan w:val="7"/>
            <w:vMerge/>
            <w:tcBorders/>
          </w:tcPr>
          <w:p/>
        </w:tc>
      </w:tr>
      <w:tr>
        <w:trPr>
          <w:trHeight w:hRule="exact" w:val="160"/>
        </w:trPr>
        <w:tc>
          <w:tcPr>
            <w:tcW w:type="dxa" w:w="1080"/>
            <w:gridSpan w:val="3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58" w:after="0"/>
              <w:ind w:left="0" w:right="34" w:firstLine="0"/>
              <w:jc w:val="right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0.0</w:t>
            </w:r>
          </w:p>
        </w:tc>
        <w:tc>
          <w:tcPr>
            <w:tcW w:type="dxa" w:w="3472"/>
            <w:gridSpan w:val="8"/>
            <w:vMerge/>
            <w:tcBorders/>
          </w:tcPr>
          <w:p/>
        </w:tc>
        <w:tc>
          <w:tcPr>
            <w:tcW w:type="dxa" w:w="480"/>
            <w:gridSpan w:val="3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58" w:after="0"/>
              <w:ind w:left="0" w:right="40" w:firstLine="0"/>
              <w:jc w:val="right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0</w:t>
            </w:r>
          </w:p>
        </w:tc>
        <w:tc>
          <w:tcPr>
            <w:tcW w:type="dxa" w:w="3038"/>
            <w:gridSpan w:val="7"/>
            <w:vMerge/>
            <w:tcBorders/>
          </w:tcPr>
          <w:p/>
        </w:tc>
      </w:tr>
      <w:tr>
        <w:trPr>
          <w:trHeight w:hRule="exact" w:val="262"/>
        </w:trPr>
        <w:tc>
          <w:tcPr>
            <w:tcW w:type="dxa" w:w="1302"/>
            <w:gridSpan w:val="3"/>
            <w:vMerge/>
            <w:tcBorders/>
          </w:tcPr>
          <w:p/>
        </w:tc>
        <w:tc>
          <w:tcPr>
            <w:tcW w:type="dxa" w:w="3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32" w:after="0"/>
              <w:ind w:left="0" w:right="0" w:firstLine="0"/>
              <w:jc w:val="center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3.0</w:t>
            </w:r>
          </w:p>
        </w:tc>
        <w:tc>
          <w:tcPr>
            <w:tcW w:type="dxa" w:w="5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32" w:after="0"/>
              <w:ind w:left="0" w:right="0" w:firstLine="0"/>
              <w:jc w:val="center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3.5</w:t>
            </w:r>
          </w:p>
        </w:tc>
        <w:tc>
          <w:tcPr>
            <w:tcW w:type="dxa" w:w="4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32" w:after="0"/>
              <w:ind w:left="78" w:right="0" w:firstLine="0"/>
              <w:jc w:val="left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4.0</w:t>
            </w:r>
          </w:p>
        </w:tc>
        <w:tc>
          <w:tcPr>
            <w:tcW w:type="dxa" w:w="5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32" w:after="0"/>
              <w:ind w:left="48" w:right="0" w:firstLine="0"/>
              <w:jc w:val="left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4.5</w:t>
            </w:r>
          </w:p>
        </w:tc>
        <w:tc>
          <w:tcPr>
            <w:tcW w:type="dxa" w:w="40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32" w:after="0"/>
              <w:ind w:left="0" w:right="0" w:firstLine="0"/>
              <w:jc w:val="left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5.0</w:t>
            </w:r>
          </w:p>
        </w:tc>
        <w:tc>
          <w:tcPr>
            <w:tcW w:type="dxa" w:w="3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32" w:after="0"/>
              <w:ind w:left="0" w:right="0" w:firstLine="0"/>
              <w:jc w:val="center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5.5</w:t>
            </w:r>
          </w:p>
        </w:tc>
        <w:tc>
          <w:tcPr>
            <w:tcW w:type="dxa" w:w="4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32" w:after="0"/>
              <w:ind w:left="0" w:right="0" w:firstLine="0"/>
              <w:jc w:val="center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6.0</w:t>
            </w:r>
          </w:p>
        </w:tc>
        <w:tc>
          <w:tcPr>
            <w:tcW w:type="dxa" w:w="1302"/>
            <w:gridSpan w:val="3"/>
            <w:vMerge/>
            <w:tcBorders/>
          </w:tcPr>
          <w:p/>
        </w:tc>
        <w:tc>
          <w:tcPr>
            <w:tcW w:type="dxa" w:w="4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32" w:after="0"/>
              <w:ind w:left="0" w:right="0" w:firstLine="0"/>
              <w:jc w:val="center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0.0</w:t>
            </w:r>
          </w:p>
        </w:tc>
        <w:tc>
          <w:tcPr>
            <w:tcW w:type="dxa" w:w="4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32" w:after="0"/>
              <w:ind w:left="0" w:right="68" w:firstLine="0"/>
              <w:jc w:val="right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0.2</w:t>
            </w:r>
          </w:p>
        </w:tc>
        <w:tc>
          <w:tcPr>
            <w:tcW w:type="dxa" w:w="5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32" w:after="0"/>
              <w:ind w:left="0" w:right="32" w:firstLine="0"/>
              <w:jc w:val="right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0.4</w:t>
            </w:r>
          </w:p>
        </w:tc>
        <w:tc>
          <w:tcPr>
            <w:tcW w:type="dxa" w:w="5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32" w:after="0"/>
              <w:ind w:left="0" w:right="0" w:firstLine="0"/>
              <w:jc w:val="right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0.6</w:t>
            </w:r>
          </w:p>
        </w:tc>
        <w:tc>
          <w:tcPr>
            <w:tcW w:type="dxa" w:w="74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32" w:after="0"/>
              <w:ind w:left="0" w:right="202" w:firstLine="0"/>
              <w:jc w:val="right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0.8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32" w:after="0"/>
              <w:ind w:left="150" w:right="0" w:firstLine="0"/>
              <w:jc w:val="left"/>
            </w:pPr>
            <w:r>
              <w:rPr>
                <w:w w:val="96.77850405375162"/>
                <w:rFonts w:ascii="DejaVuSerif" w:hAnsi="DejaVuSerif" w:eastAsia="DejaVuSerif"/>
                <w:b w:val="0"/>
                <w:i w:val="0"/>
                <w:color w:val="000000"/>
                <w:sz w:val="12"/>
              </w:rPr>
              <w:t>1.0</w:t>
            </w:r>
          </w:p>
        </w:tc>
      </w:tr>
    </w:tbl>
    <w:p>
      <w:pPr>
        <w:autoSpaceDN w:val="0"/>
        <w:autoSpaceDE w:val="0"/>
        <w:widowControl/>
        <w:spacing w:line="270" w:lineRule="exact" w:before="192" w:after="0"/>
        <w:ind w:left="0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Figure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3.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Distribution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of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four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key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lexical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features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among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phishing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URLs,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earliest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vs.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latest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temporal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block.</w:t>
      </w:r>
    </w:p>
    <w:p>
      <w:pPr>
        <w:autoSpaceDN w:val="0"/>
        <w:autoSpaceDE w:val="0"/>
        <w:widowControl/>
        <w:spacing w:line="240" w:lineRule="exact" w:before="468" w:after="0"/>
        <w:ind w:left="0" w:right="20" w:firstLine="0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blocks), confirming that these four features carry real, non-trivial separating power and that part of the near-ceiling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result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reflects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URL-construction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differences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between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two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classes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rather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than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phishing-specific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content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alone.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At the same time, F1 with those four features removed remains at 0.95–0.96, far above chance and only modestly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below the full-feature result, so the remaining 28 lexical features carry substantial phishing-discriminating signal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on their own. We read this as a partial, not a full, explanation of the near-ceiling result: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the four structural features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inflate the reported ceiling by a few points, but they are not the sole reason detection is easy.</w:t>
      </w:r>
    </w:p>
    <w:p>
      <w:pPr>
        <w:autoSpaceDN w:val="0"/>
        <w:autoSpaceDE w:val="0"/>
        <w:widowControl/>
        <w:spacing w:line="272" w:lineRule="exact" w:before="218" w:after="228"/>
        <w:ind w:left="0" w:right="20" w:firstLine="0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Table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4.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F1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(fixed-training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design,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averaged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across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displaced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blocks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2–6)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with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and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without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the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four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features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most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associated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with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legitimate-URL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construction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(</w:t>
      </w:r>
      <w:r>
        <w:rPr>
          <w:rFonts w:ascii="NimbusMonL" w:hAnsi="NimbusMonL" w:eastAsia="NimbusMonL"/>
          <w:b w:val="0"/>
          <w:i w:val="0"/>
          <w:color w:val="000000"/>
          <w:sz w:val="22"/>
        </w:rPr>
        <w:t>is_https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</w:t>
      </w:r>
      <w:r>
        <w:rPr>
          <w:rFonts w:ascii="NimbusMonL" w:hAnsi="NimbusMonL" w:eastAsia="NimbusMonL"/>
          <w:b w:val="0"/>
          <w:i w:val="0"/>
          <w:color w:val="000000"/>
          <w:sz w:val="22"/>
        </w:rPr>
        <w:t>path_length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, </w:t>
      </w:r>
      <w:r>
        <w:rPr>
          <w:rFonts w:ascii="NimbusMonL" w:hAnsi="NimbusMonL" w:eastAsia="NimbusMonL"/>
          <w:b w:val="0"/>
          <w:i w:val="0"/>
          <w:color w:val="000000"/>
          <w:sz w:val="22"/>
        </w:rPr>
        <w:t>num_slashes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</w:t>
      </w:r>
      <w:r>
        <w:rPr>
          <w:rFonts w:ascii="NimbusMonL" w:hAnsi="NimbusMonL" w:eastAsia="NimbusMonL"/>
          <w:b w:val="0"/>
          <w:i w:val="0"/>
          <w:color w:val="000000"/>
          <w:sz w:val="22"/>
        </w:rPr>
        <w:t xml:space="preserve"> url_length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).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70.0" w:type="dxa"/>
      </w:tblPr>
      <w:tblGrid>
        <w:gridCol w:w="2277"/>
        <w:gridCol w:w="2277"/>
        <w:gridCol w:w="2277"/>
        <w:gridCol w:w="2277"/>
      </w:tblGrid>
      <w:tr>
        <w:trPr>
          <w:trHeight w:hRule="exact" w:val="384"/>
        </w:trPr>
        <w:tc>
          <w:tcPr>
            <w:tcW w:type="dxa" w:w="1978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6" w:after="0"/>
              <w:ind w:left="12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Model</w:t>
            </w:r>
          </w:p>
        </w:tc>
        <w:tc>
          <w:tcPr>
            <w:tcW w:type="dxa" w:w="1540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F1, 32 features</w:t>
            </w:r>
          </w:p>
        </w:tc>
        <w:tc>
          <w:tcPr>
            <w:tcW w:type="dxa" w:w="2360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F1, 28 features (ablated)</w:t>
            </w:r>
          </w:p>
        </w:tc>
        <w:tc>
          <w:tcPr>
            <w:tcW w:type="dxa" w:w="868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Drop</w:t>
            </w:r>
          </w:p>
        </w:tc>
      </w:tr>
      <w:tr>
        <w:trPr>
          <w:trHeight w:hRule="exact" w:val="330"/>
        </w:trPr>
        <w:tc>
          <w:tcPr>
            <w:tcW w:type="dxa" w:w="1978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4" w:after="0"/>
              <w:ind w:left="12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Random Forest</w:t>
            </w:r>
          </w:p>
        </w:tc>
        <w:tc>
          <w:tcPr>
            <w:tcW w:type="dxa" w:w="154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0.9943</w:t>
            </w:r>
          </w:p>
        </w:tc>
        <w:tc>
          <w:tcPr>
            <w:tcW w:type="dxa" w:w="236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0.9617</w:t>
            </w:r>
          </w:p>
        </w:tc>
        <w:tc>
          <w:tcPr>
            <w:tcW w:type="dxa" w:w="868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0.0326</w:t>
            </w:r>
          </w:p>
        </w:tc>
      </w:tr>
      <w:tr>
        <w:trPr>
          <w:trHeight w:hRule="exact" w:val="260"/>
        </w:trPr>
        <w:tc>
          <w:tcPr>
            <w:tcW w:type="dxa" w:w="197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2" w:after="0"/>
              <w:ind w:left="12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XGBoost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2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0.9935</w:t>
            </w:r>
          </w:p>
        </w:tc>
        <w:tc>
          <w:tcPr>
            <w:tcW w:type="dxa" w:w="2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2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0.9601</w:t>
            </w:r>
          </w:p>
        </w:tc>
        <w:tc>
          <w:tcPr>
            <w:tcW w:type="dxa" w:w="8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2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0.0334</w:t>
            </w:r>
          </w:p>
        </w:tc>
      </w:tr>
      <w:tr>
        <w:trPr>
          <w:trHeight w:hRule="exact" w:val="336"/>
        </w:trPr>
        <w:tc>
          <w:tcPr>
            <w:tcW w:type="dxa" w:w="1978"/>
            <w:tcBorders>
              <w:bottom w:sz="6.9840002059936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2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Logistic Regression</w:t>
            </w:r>
          </w:p>
        </w:tc>
        <w:tc>
          <w:tcPr>
            <w:tcW w:type="dxa" w:w="1540"/>
            <w:tcBorders>
              <w:bottom w:sz="6.9840002059936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2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0.9899</w:t>
            </w:r>
          </w:p>
        </w:tc>
        <w:tc>
          <w:tcPr>
            <w:tcW w:type="dxa" w:w="2360"/>
            <w:tcBorders>
              <w:bottom w:sz="6.9840002059936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2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0.9490</w:t>
            </w:r>
          </w:p>
        </w:tc>
        <w:tc>
          <w:tcPr>
            <w:tcW w:type="dxa" w:w="868"/>
            <w:tcBorders>
              <w:bottom w:sz="6.9840002059936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2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0.0409</w:t>
            </w:r>
          </w:p>
        </w:tc>
      </w:tr>
    </w:tbl>
    <w:p>
      <w:pPr>
        <w:autoSpaceDN w:val="0"/>
        <w:autoSpaceDE w:val="0"/>
        <w:widowControl/>
        <w:spacing w:line="238" w:lineRule="exact" w:before="258" w:after="0"/>
        <w:ind w:left="0" w:right="20" w:firstLine="338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operational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risk,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then,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not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that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lexical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phishing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detectors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trained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today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will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fail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outright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next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month.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that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near-perfect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performance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reported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under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random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split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(or,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show,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even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under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most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temporal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designs against an easy negative class) is a poor guide to performance against near-miss legitimate traffic,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which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is the regime that actually matters operationally. We would expect the degradation trend that is significant here in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aggregate to become the dominant effect, not a marginal one, once the negative class is made realistically hard.</w:t>
      </w:r>
    </w:p>
    <w:p>
      <w:pPr>
        <w:autoSpaceDN w:val="0"/>
        <w:autoSpaceDE w:val="0"/>
        <w:widowControl/>
        <w:spacing w:line="286" w:lineRule="exact" w:before="572" w:after="0"/>
        <w:ind w:left="0" w:right="0" w:firstLine="0"/>
        <w:jc w:val="left"/>
      </w:pP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6 LIMITATIONS</w:t>
      </w:r>
    </w:p>
    <w:p>
      <w:pPr>
        <w:autoSpaceDN w:val="0"/>
        <w:autoSpaceDE w:val="0"/>
        <w:widowControl/>
        <w:spacing w:line="240" w:lineRule="exact" w:before="340" w:after="0"/>
        <w:ind w:left="0" w:right="20" w:firstLine="338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>Our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features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are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purely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lexical;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do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not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use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page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content,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WHOIS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data,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network/hosting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features,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all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of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which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could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shift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balance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between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temporal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drift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raw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separability.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PhishTank’s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reports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carry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known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reporting-time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bias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(submission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time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not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necessarily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attack-launch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time,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popular/obvious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phishing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cam-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paigns are reported faster than sophisticated ones). The 180-day window, while the longest span with consistently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high weekly volume in the feed we used, is short relative to multi-year drift dynamics reported elsewhere in the lit-</w:t>
      </w:r>
    </w:p>
    <w:p>
      <w:pPr>
        <w:sectPr>
          <w:pgSz w:w="11909" w:h="16834"/>
          <w:pgMar w:top="356" w:right="1390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p>
      <w:pPr>
        <w:autoSpaceDN w:val="0"/>
        <w:autoSpaceDE w:val="0"/>
        <w:widowControl/>
        <w:spacing w:line="160" w:lineRule="exact" w:before="0" w:after="0"/>
        <w:ind w:left="0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16"/>
        </w:rPr>
        <w:t>Jordanian Journal of Computers and Information Technology (JJCIT), Vol. 12, No. X, 2026.</w:t>
      </w:r>
    </w:p>
    <w:p>
      <w:pPr>
        <w:autoSpaceDN w:val="0"/>
        <w:autoSpaceDE w:val="0"/>
        <w:widowControl/>
        <w:spacing w:line="240" w:lineRule="exact" w:before="568" w:after="0"/>
        <w:ind w:left="0" w:right="20" w:firstLine="0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regardless of when the phishing examples were collected, alongside the fact that assigning synthetic timestamps to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the legitimate URLs makes half of each evaluation block i.i.d. by construction, halving the observable degradation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effect before any evaluation even begins. We recommend that future phishing-detection evaluations pair temporal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splitting with a harder negative class before concluding that concept drift is a marginal concern for this task.</w:t>
      </w:r>
    </w:p>
    <w:p>
      <w:pPr>
        <w:autoSpaceDN w:val="0"/>
        <w:autoSpaceDE w:val="0"/>
        <w:widowControl/>
        <w:spacing w:line="288" w:lineRule="exact" w:before="568" w:after="0"/>
        <w:ind w:left="0" w:right="0" w:firstLine="0"/>
        <w:jc w:val="left"/>
      </w:pP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DATA AVAILABILITY</w:t>
      </w:r>
    </w:p>
    <w:p>
      <w:pPr>
        <w:autoSpaceDN w:val="0"/>
        <w:autoSpaceDE w:val="0"/>
        <w:widowControl/>
        <w:spacing w:line="240" w:lineRule="exact" w:before="340" w:after="0"/>
        <w:ind w:left="0" w:right="20" w:firstLine="338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The phishing dataset (PhishTank IDs and timestamps), the legitimate-domain sample, extracted features, and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analysis code will be published in a public repository with a Zenodo DOI upon submission (see</w:t>
      </w:r>
      <w:r>
        <w:rPr>
          <w:rFonts w:ascii="NimbusMonL" w:hAnsi="NimbusMonL" w:eastAsia="NimbusMonL"/>
          <w:b w:val="0"/>
          <w:i w:val="0"/>
          <w:color w:val="000000"/>
          <w:sz w:val="20"/>
        </w:rPr>
        <w:t xml:space="preserve"> README.md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 for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 current repository location).</w:t>
      </w:r>
    </w:p>
    <w:p>
      <w:pPr>
        <w:autoSpaceDN w:val="0"/>
        <w:autoSpaceDE w:val="0"/>
        <w:widowControl/>
        <w:spacing w:line="286" w:lineRule="exact" w:before="570" w:after="0"/>
        <w:ind w:left="0" w:right="0" w:firstLine="0"/>
        <w:jc w:val="left"/>
      </w:pP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REFERENCES</w:t>
      </w:r>
    </w:p>
    <w:p>
      <w:pPr>
        <w:autoSpaceDN w:val="0"/>
        <w:autoSpaceDE w:val="0"/>
        <w:widowControl/>
        <w:spacing w:line="240" w:lineRule="exact" w:before="220" w:after="0"/>
        <w:ind w:left="440" w:right="20" w:hanging="342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>[1]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J. Gama, I. Žliobait˙e, A. Bifet, M. Pechenizkiy, and A. Bouchachia, “A survey on concept drift adaptation,”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ACM Computing Surveys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, vol. 46, no. 4, pp. 44:1–44:37, 2014.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[Online], Available:</w:t>
      </w:r>
      <w:r>
        <w:rPr>
          <w:rFonts w:ascii="NimbusMonL" w:hAnsi="NimbusMonL" w:eastAsia="NimbusMonL"/>
          <w:b w:val="0"/>
          <w:i w:val="0"/>
          <w:color w:val="000000"/>
          <w:sz w:val="20"/>
        </w:rPr>
        <w:hyperlink r:id="rId13" w:history="1">
          <w:r>
            <w:rPr>
              <w:rStyle w:val="Hyperlink"/>
            </w:rPr>
            <w:t xml:space="preserve">https://doi.org/ </w:t>
          </w:r>
        </w:hyperlink>
      </w:r>
      <w:r>
        <w:rPr>
          <w:rFonts w:ascii="NimbusMonL" w:hAnsi="NimbusMonL" w:eastAsia="NimbusMonL"/>
          <w:b w:val="0"/>
          <w:i w:val="0"/>
          <w:color w:val="000000"/>
          <w:sz w:val="20"/>
        </w:rPr>
        <w:hyperlink r:id="rId13" w:history="1">
          <w:r>
            <w:rPr>
              <w:rStyle w:val="Hyperlink"/>
            </w:rPr>
            <w:t>10.1145/2523813</w:t>
          </w:r>
        </w:hyperlink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.</w:t>
      </w:r>
    </w:p>
    <w:p>
      <w:pPr>
        <w:autoSpaceDN w:val="0"/>
        <w:autoSpaceDE w:val="0"/>
        <w:widowControl/>
        <w:spacing w:line="238" w:lineRule="exact" w:before="182" w:after="0"/>
        <w:ind w:left="440" w:right="20" w:hanging="342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>[2]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A. Odeh, I. Keshta, and E. Abdelfattah, “PhiBoost – a novel phishing detection model using adaptive boosting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approach,”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Jordanian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Journal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of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Computers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and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Information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Technology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(JJCIT)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vol.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7,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no.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1,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pp.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64–73,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2021.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[Online], Available:</w:t>
      </w:r>
      <w:r>
        <w:rPr>
          <w:rFonts w:ascii="NimbusMonL" w:hAnsi="NimbusMonL" w:eastAsia="NimbusMonL"/>
          <w:b w:val="0"/>
          <w:i w:val="0"/>
          <w:color w:val="000000"/>
          <w:sz w:val="20"/>
        </w:rPr>
        <w:hyperlink r:id="rId14" w:history="1">
          <w:r>
            <w:rPr>
              <w:rStyle w:val="Hyperlink"/>
            </w:rPr>
            <w:t>https://doi.org/10.5455/jjcit.71-1600061738</w:t>
          </w:r>
        </w:hyperlink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.</w:t>
      </w:r>
    </w:p>
    <w:p>
      <w:pPr>
        <w:autoSpaceDN w:val="0"/>
        <w:autoSpaceDE w:val="0"/>
        <w:widowControl/>
        <w:spacing w:line="240" w:lineRule="exact" w:before="178" w:after="0"/>
        <w:ind w:left="440" w:right="20" w:hanging="342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>[3]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O. K. Sahingoz, E. Buber, O. Demir, and B. Diri, “Machine learning based phishing detection from URLs,”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Expert Systems with Applications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, vol. 117, pp. 345–357, 2019.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[Online], Available:</w:t>
      </w:r>
      <w:r>
        <w:rPr>
          <w:rFonts w:ascii="NimbusMonL" w:hAnsi="NimbusMonL" w:eastAsia="NimbusMonL"/>
          <w:b w:val="0"/>
          <w:i w:val="0"/>
          <w:color w:val="000000"/>
          <w:sz w:val="20"/>
        </w:rPr>
        <w:t xml:space="preserve"> </w:t>
      </w:r>
      <w:r>
        <w:rPr>
          <w:rFonts w:ascii="NimbusMonL" w:hAnsi="NimbusMonL" w:eastAsia="NimbusMonL"/>
          <w:b w:val="0"/>
          <w:i w:val="0"/>
          <w:color w:val="000000"/>
          <w:sz w:val="20"/>
        </w:rPr>
        <w:hyperlink r:id="rId15" w:history="1">
          <w:r>
            <w:rPr>
              <w:rStyle w:val="Hyperlink"/>
            </w:rPr>
            <w:t xml:space="preserve">https://doi.org/ </w:t>
          </w:r>
        </w:hyperlink>
      </w:r>
      <w:r>
        <w:rPr>
          <w:rFonts w:ascii="NimbusMonL" w:hAnsi="NimbusMonL" w:eastAsia="NimbusMonL"/>
          <w:b w:val="0"/>
          <w:i w:val="0"/>
          <w:color w:val="000000"/>
          <w:sz w:val="20"/>
        </w:rPr>
        <w:hyperlink r:id="rId15" w:history="1">
          <w:r>
            <w:rPr>
              <w:rStyle w:val="Hyperlink"/>
            </w:rPr>
            <w:t>10.1016/j.eswa.2018.09.029</w:t>
          </w:r>
        </w:hyperlink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.</w:t>
      </w:r>
    </w:p>
    <w:p>
      <w:pPr>
        <w:autoSpaceDN w:val="0"/>
        <w:autoSpaceDE w:val="0"/>
        <w:widowControl/>
        <w:spacing w:line="240" w:lineRule="exact" w:before="180" w:after="0"/>
        <w:ind w:left="440" w:right="20" w:hanging="342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>[4]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Y. Alslman, A. Khalil, R. Younisse, E. Alnagi, J. Al-Saraireh, and R. Ghnemat, “DDoS attack-detection ap-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proach based on ensemble models using spark,”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 xml:space="preserve"> Jordanian Journal of Computers and Information Technology 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(JJCIT)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, vol. 10, no. 2, pp. 123–137, 2024. [Online], Available:</w:t>
      </w:r>
      <w:r>
        <w:rPr>
          <w:rFonts w:ascii="NimbusMonL" w:hAnsi="NimbusMonL" w:eastAsia="NimbusMonL"/>
          <w:b w:val="0"/>
          <w:i w:val="0"/>
          <w:color w:val="000000"/>
          <w:sz w:val="20"/>
        </w:rPr>
        <w:t xml:space="preserve"> </w:t>
      </w:r>
      <w:r>
        <w:rPr>
          <w:rFonts w:ascii="NimbusMonL" w:hAnsi="NimbusMonL" w:eastAsia="NimbusMonL"/>
          <w:b w:val="0"/>
          <w:i w:val="0"/>
          <w:color w:val="000000"/>
          <w:sz w:val="20"/>
        </w:rPr>
        <w:hyperlink r:id="rId16" w:history="1">
          <w:r>
            <w:rPr>
              <w:rStyle w:val="Hyperlink"/>
            </w:rPr>
            <w:t xml:space="preserve">https://doi.org/10.5455/jjcit. </w:t>
          </w:r>
        </w:hyperlink>
      </w:r>
      <w:r>
        <w:rPr>
          <w:rFonts w:ascii="NimbusMonL" w:hAnsi="NimbusMonL" w:eastAsia="NimbusMonL"/>
          <w:b w:val="0"/>
          <w:i w:val="0"/>
          <w:color w:val="000000"/>
          <w:sz w:val="20"/>
        </w:rPr>
        <w:hyperlink r:id="rId16" w:history="1">
          <w:r>
            <w:rPr>
              <w:rStyle w:val="Hyperlink"/>
            </w:rPr>
            <w:t>71-1694806966</w:t>
          </w:r>
        </w:hyperlink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.</w:t>
      </w:r>
    </w:p>
    <w:p>
      <w:pPr>
        <w:autoSpaceDN w:val="0"/>
        <w:autoSpaceDE w:val="0"/>
        <w:widowControl/>
        <w:spacing w:line="240" w:lineRule="exact" w:before="178" w:after="0"/>
        <w:ind w:left="440" w:right="20" w:hanging="342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>[5]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Z. Ashi, L. Aburashed, M. Al-Qudah, and A. Qusef, “Network intrusion detection systems using supervised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machine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learning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classification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dimensionality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reduction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techniques: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systematic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review,”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 xml:space="preserve">Jordanian 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Journal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of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Computers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and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Information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Technology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(JJCIT)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vol.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7,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no.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4,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pp.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301–326,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2021.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[Online],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Available:</w:t>
      </w:r>
      <w:r>
        <w:rPr>
          <w:rFonts w:ascii="NimbusMonL" w:hAnsi="NimbusMonL" w:eastAsia="NimbusMonL"/>
          <w:b w:val="0"/>
          <w:i w:val="0"/>
          <w:color w:val="000000"/>
          <w:sz w:val="20"/>
        </w:rPr>
        <w:hyperlink r:id="rId17" w:history="1">
          <w:r>
            <w:rPr>
              <w:rStyle w:val="Hyperlink"/>
            </w:rPr>
            <w:t>https://doi.org/10.5455/jjcit.71-1629527707</w:t>
          </w:r>
        </w:hyperlink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.</w:t>
      </w:r>
    </w:p>
    <w:p>
      <w:pPr>
        <w:autoSpaceDN w:val="0"/>
        <w:autoSpaceDE w:val="0"/>
        <w:widowControl/>
        <w:spacing w:line="240" w:lineRule="exact" w:before="178" w:after="0"/>
        <w:ind w:left="440" w:right="20" w:hanging="342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>[6]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Pendlebury,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Pierazzi,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Jordaney,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J.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Kinder,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L.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Cavallaro,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“TESSERACT: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Eliminating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experi-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mental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bias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malware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classification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across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space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time,”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in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Proceedings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of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28th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USENIX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Secu-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rity Symposium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, pp. 729–746, 2019.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[Online], Available:</w:t>
      </w:r>
      <w:r>
        <w:rPr>
          <w:rFonts w:ascii="NimbusMonL" w:hAnsi="NimbusMonL" w:eastAsia="NimbusMonL"/>
          <w:b w:val="0"/>
          <w:i w:val="0"/>
          <w:color w:val="000000"/>
          <w:sz w:val="20"/>
        </w:rPr>
        <w:hyperlink r:id="rId18" w:history="1">
          <w:r>
            <w:rPr>
              <w:rStyle w:val="Hyperlink"/>
            </w:rPr>
            <w:t xml:space="preserve">https://www.usenix.org/conference/ </w:t>
          </w:r>
        </w:hyperlink>
      </w:r>
      <w:r>
        <w:rPr>
          <w:rFonts w:ascii="NimbusMonL" w:hAnsi="NimbusMonL" w:eastAsia="NimbusMonL"/>
          <w:b w:val="0"/>
          <w:i w:val="0"/>
          <w:color w:val="000000"/>
          <w:sz w:val="20"/>
        </w:rPr>
        <w:hyperlink r:id="rId18" w:history="1">
          <w:r>
            <w:rPr>
              <w:rStyle w:val="Hyperlink"/>
            </w:rPr>
            <w:t>usenixsecurity19/presentation/pendlebury</w:t>
          </w:r>
        </w:hyperlink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.</w:t>
      </w:r>
    </w:p>
    <w:p>
      <w:pPr>
        <w:autoSpaceDN w:val="0"/>
        <w:autoSpaceDE w:val="0"/>
        <w:widowControl/>
        <w:spacing w:line="240" w:lineRule="exact" w:before="180" w:after="0"/>
        <w:ind w:left="440" w:right="20" w:hanging="342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>[7]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F. Jemili, K. Jouini, and O. Korbaa, “Intrusion detection based on concept drift detection and online incremen-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tal learning,”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 xml:space="preserve"> International Journal of Pervasive Computing and Communications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, vol. 21, no. 1, pp. 81–115,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2024.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[Online], Available:</w:t>
      </w:r>
      <w:r>
        <w:rPr>
          <w:rFonts w:ascii="NimbusMonL" w:hAnsi="NimbusMonL" w:eastAsia="NimbusMonL"/>
          <w:b w:val="0"/>
          <w:i w:val="0"/>
          <w:color w:val="000000"/>
          <w:sz w:val="20"/>
        </w:rPr>
        <w:hyperlink r:id="rId19" w:history="1">
          <w:r>
            <w:rPr>
              <w:rStyle w:val="Hyperlink"/>
            </w:rPr>
            <w:t>https://doi.org/10.1108/ijpcc-12-2023-0358</w:t>
          </w:r>
        </w:hyperlink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.</w:t>
      </w:r>
    </w:p>
    <w:p>
      <w:pPr>
        <w:autoSpaceDN w:val="0"/>
        <w:autoSpaceDE w:val="0"/>
        <w:widowControl/>
        <w:spacing w:line="240" w:lineRule="exact" w:before="178" w:after="0"/>
        <w:ind w:left="440" w:right="20" w:hanging="342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>[8]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G. Apruzzese,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H. S. Anderson,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S. Dambra,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D. Freeman, F. Pierazzi,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and K. Roundy,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““Real attackers don’t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compute gradients”: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Bridging the gap between adversarial ML research and practice,” in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 xml:space="preserve"> Proceedings of the 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2023 IEEE Conference on Secure and Trustworthy Machine Learning (SaTML)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, pp. 339–364, 2023. [Online],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Available:</w:t>
      </w:r>
      <w:r>
        <w:rPr>
          <w:rFonts w:ascii="NimbusMonL" w:hAnsi="NimbusMonL" w:eastAsia="NimbusMonL"/>
          <w:b w:val="0"/>
          <w:i w:val="0"/>
          <w:color w:val="000000"/>
          <w:sz w:val="20"/>
        </w:rPr>
        <w:hyperlink r:id="rId20" w:history="1">
          <w:r>
            <w:rPr>
              <w:rStyle w:val="Hyperlink"/>
            </w:rPr>
            <w:t>https://doi.org/10.1109/SaTML54575.2023.00031</w:t>
          </w:r>
        </w:hyperlink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.</w:t>
      </w:r>
    </w:p>
    <w:p>
      <w:pPr>
        <w:autoSpaceDN w:val="0"/>
        <w:autoSpaceDE w:val="0"/>
        <w:widowControl/>
        <w:spacing w:line="238" w:lineRule="exact" w:before="182" w:after="0"/>
        <w:ind w:left="440" w:right="20" w:hanging="342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>[9]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A. L. Buczak and E. Guven, “A survey of data mining and machine learning methods for cyber security intru-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sion detection,”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 xml:space="preserve"> IEEE Communications Surveys &amp; Tutorials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, vol. 18, no. 2, pp. 1153–1176, 2016.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[Online],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Available:</w:t>
      </w:r>
      <w:r>
        <w:rPr>
          <w:rFonts w:ascii="NimbusMonL" w:hAnsi="NimbusMonL" w:eastAsia="NimbusMonL"/>
          <w:b w:val="0"/>
          <w:i w:val="0"/>
          <w:color w:val="000000"/>
          <w:sz w:val="20"/>
        </w:rPr>
        <w:hyperlink r:id="rId21" w:history="1">
          <w:r>
            <w:rPr>
              <w:rStyle w:val="Hyperlink"/>
            </w:rPr>
            <w:t>https://doi.org/10.1109/COMST.2015.2494502</w:t>
          </w:r>
        </w:hyperlink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.</w:t>
      </w:r>
    </w:p>
    <w:p>
      <w:pPr>
        <w:autoSpaceDN w:val="0"/>
        <w:autoSpaceDE w:val="0"/>
        <w:widowControl/>
        <w:spacing w:line="240" w:lineRule="exact" w:before="178" w:after="0"/>
        <w:ind w:left="440" w:right="20" w:hanging="440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>[10]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G.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Varshney,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M.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Misra,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K.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Atrey,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“A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survey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classification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of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web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phishing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detection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schemes,”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Security and Communication Networks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, vol. 9, no. 18, pp. 6266–6284, 2016.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[Online], Available:</w:t>
      </w:r>
      <w:r>
        <w:rPr>
          <w:rFonts w:ascii="NimbusMonL" w:hAnsi="NimbusMonL" w:eastAsia="NimbusMonL"/>
          <w:b w:val="0"/>
          <w:i w:val="0"/>
          <w:color w:val="000000"/>
          <w:sz w:val="20"/>
        </w:rPr>
        <w:hyperlink r:id="rId22" w:history="1">
          <w:r>
            <w:rPr>
              <w:rStyle w:val="Hyperlink"/>
            </w:rPr>
            <w:t xml:space="preserve">https: </w:t>
          </w:r>
        </w:hyperlink>
      </w:r>
      <w:r>
        <w:rPr>
          <w:rFonts w:ascii="NimbusMonL" w:hAnsi="NimbusMonL" w:eastAsia="NimbusMonL"/>
          <w:b w:val="0"/>
          <w:i w:val="0"/>
          <w:color w:val="000000"/>
          <w:sz w:val="20"/>
        </w:rPr>
        <w:hyperlink r:id="rId22" w:history="1">
          <w:r>
            <w:rPr>
              <w:rStyle w:val="Hyperlink"/>
            </w:rPr>
            <w:t>//doi.org/10.1002/sec.1674</w:t>
          </w:r>
        </w:hyperlink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.</w:t>
      </w:r>
    </w:p>
    <w:p>
      <w:pPr>
        <w:autoSpaceDN w:val="0"/>
        <w:autoSpaceDE w:val="0"/>
        <w:widowControl/>
        <w:spacing w:line="238" w:lineRule="exact" w:before="182" w:after="0"/>
        <w:ind w:left="440" w:right="20" w:hanging="440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>[11]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R. M. Mohammad, F. Thabtah, and L. McCluskey, “Intelligent rule-based phishing websites classification,”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IET Information Security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, vol. 8, no. 3, pp. 153–160, 2014.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[Online], Available:</w:t>
      </w:r>
      <w:r>
        <w:rPr>
          <w:rFonts w:ascii="NimbusMonL" w:hAnsi="NimbusMonL" w:eastAsia="NimbusMonL"/>
          <w:b w:val="0"/>
          <w:i w:val="0"/>
          <w:color w:val="000000"/>
          <w:sz w:val="20"/>
        </w:rPr>
        <w:hyperlink r:id="rId23" w:history="1">
          <w:r>
            <w:rPr>
              <w:rStyle w:val="Hyperlink"/>
            </w:rPr>
            <w:t xml:space="preserve">https://doi.org/10. </w:t>
          </w:r>
        </w:hyperlink>
      </w:r>
      <w:r>
        <w:rPr>
          <w:rFonts w:ascii="NimbusMonL" w:hAnsi="NimbusMonL" w:eastAsia="NimbusMonL"/>
          <w:b w:val="0"/>
          <w:i w:val="0"/>
          <w:color w:val="000000"/>
          <w:sz w:val="20"/>
        </w:rPr>
        <w:hyperlink r:id="rId23" w:history="1">
          <w:r>
            <w:rPr>
              <w:rStyle w:val="Hyperlink"/>
            </w:rPr>
            <w:t>1049/iet-ifs.2013.0202</w:t>
          </w:r>
        </w:hyperlink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.</w:t>
      </w:r>
    </w:p>
    <w:p>
      <w:pPr>
        <w:sectPr>
          <w:pgSz w:w="11909" w:h="16834"/>
          <w:pgMar w:top="356" w:right="1390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14"/>
        <w:ind w:left="0" w:right="0"/>
      </w:pPr>
    </w:p>
    <w:p>
      <w:pPr>
        <w:autoSpaceDN w:val="0"/>
        <w:autoSpaceDE w:val="0"/>
        <w:widowControl/>
        <w:spacing w:line="218" w:lineRule="exact" w:before="0" w:after="0"/>
        <w:ind w:left="0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10</w:t>
      </w:r>
      <w:r>
        <w:rPr>
          <w:rFonts w:ascii="NimbusRomNo9L" w:hAnsi="NimbusRomNo9L" w:eastAsia="NimbusRomNo9L"/>
          <w:b w:val="0"/>
          <w:i w:val="0"/>
          <w:color w:val="000000"/>
          <w:sz w:val="16"/>
        </w:rPr>
        <w:t xml:space="preserve"> "Concept Drift in URL-Based Phishing Detection: A Temporal Evaluation", Author Name.</w:t>
      </w:r>
    </w:p>
    <w:p>
      <w:pPr>
        <w:autoSpaceDN w:val="0"/>
        <w:autoSpaceDE w:val="0"/>
        <w:widowControl/>
        <w:spacing w:line="238" w:lineRule="exact" w:before="556" w:after="0"/>
        <w:ind w:left="440" w:right="20" w:hanging="440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>[12]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M.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Mohammad,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Thabtah,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L.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McCluskey,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“Predicting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phishing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websites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based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self-structuring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neural network,”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 xml:space="preserve"> Neural Computing and Applications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, vol. 25, no. 2, pp. 443–458, 2014.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[Online], Available: </w:t>
      </w:r>
      <w:r>
        <w:rPr>
          <w:rFonts w:ascii="NimbusMonL" w:hAnsi="NimbusMonL" w:eastAsia="NimbusMonL"/>
          <w:b w:val="0"/>
          <w:i w:val="0"/>
          <w:color w:val="000000"/>
          <w:sz w:val="20"/>
        </w:rPr>
        <w:hyperlink r:id="rId24" w:history="1">
          <w:r>
            <w:rPr>
              <w:rStyle w:val="Hyperlink"/>
            </w:rPr>
            <w:t>https://doi.org/10.1007/s00521-013-1490-z</w:t>
          </w:r>
        </w:hyperlink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.</w:t>
      </w:r>
    </w:p>
    <w:p>
      <w:pPr>
        <w:autoSpaceDN w:val="0"/>
        <w:autoSpaceDE w:val="0"/>
        <w:widowControl/>
        <w:spacing w:line="238" w:lineRule="exact" w:before="182" w:after="0"/>
        <w:ind w:left="440" w:right="20" w:hanging="440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>[13]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P. Singh and Meenu,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“Phishing website detection based on machine learning: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 survey,”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in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 xml:space="preserve"> 2020 6th Inter-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national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Conference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on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Advanced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Computing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and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Communication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Systems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(ICACCS)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pp.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398–404,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2020.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[Online], Available:</w:t>
      </w:r>
      <w:r>
        <w:rPr>
          <w:rFonts w:ascii="NimbusMonL" w:hAnsi="NimbusMonL" w:eastAsia="NimbusMonL"/>
          <w:b w:val="0"/>
          <w:i w:val="0"/>
          <w:color w:val="000000"/>
          <w:sz w:val="20"/>
        </w:rPr>
        <w:hyperlink r:id="rId25" w:history="1">
          <w:r>
            <w:rPr>
              <w:rStyle w:val="Hyperlink"/>
            </w:rPr>
            <w:t>https://doi.org/10.1109/icaccs48705.2020.9074400</w:t>
          </w:r>
        </w:hyperlink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.</w:t>
      </w:r>
    </w:p>
    <w:p>
      <w:pPr>
        <w:autoSpaceDN w:val="0"/>
        <w:autoSpaceDE w:val="0"/>
        <w:widowControl/>
        <w:spacing w:line="240" w:lineRule="exact" w:before="180" w:after="0"/>
        <w:ind w:left="440" w:right="20" w:hanging="440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>[14]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M. Somesha, A. R. Pais, R. S. Rao, and V. S. Rathour, “Efficient deep learning techniques for the detection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of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phishing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websites,”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S¯adhan¯a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vol.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45,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no.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1,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165,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2020.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[Online],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Available:</w:t>
      </w:r>
      <w:r>
        <w:rPr>
          <w:rFonts w:ascii="NimbusMonL" w:hAnsi="NimbusMonL" w:eastAsia="NimbusMonL"/>
          <w:b w:val="0"/>
          <w:i w:val="0"/>
          <w:color w:val="000000"/>
          <w:sz w:val="20"/>
        </w:rPr>
        <w:hyperlink r:id="rId26" w:history="1">
          <w:r>
            <w:rPr>
              <w:rStyle w:val="Hyperlink"/>
            </w:rPr>
            <w:t xml:space="preserve">https://doi.org/ </w:t>
          </w:r>
        </w:hyperlink>
      </w:r>
      <w:r>
        <w:rPr>
          <w:rFonts w:ascii="NimbusMonL" w:hAnsi="NimbusMonL" w:eastAsia="NimbusMonL"/>
          <w:b w:val="0"/>
          <w:i w:val="0"/>
          <w:color w:val="000000"/>
          <w:sz w:val="20"/>
        </w:rPr>
        <w:hyperlink r:id="rId26" w:history="1">
          <w:r>
            <w:rPr>
              <w:rStyle w:val="Hyperlink"/>
            </w:rPr>
            <w:t>10.1007/s12046-020-01392-4</w:t>
          </w:r>
        </w:hyperlink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.</w:t>
      </w:r>
    </w:p>
    <w:p>
      <w:pPr>
        <w:autoSpaceDN w:val="0"/>
        <w:autoSpaceDE w:val="0"/>
        <w:widowControl/>
        <w:spacing w:line="240" w:lineRule="exact" w:before="180" w:after="0"/>
        <w:ind w:left="440" w:right="20" w:hanging="440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>[15]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A. Hannousse and S. Yahiouche, “Towards benchmark datasets for machine learning based website phishing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detection: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 experimental study,”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Engineering Applications of Artificial Intelligence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vol. 104,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p. 104347,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2021.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[Online], Available:</w:t>
      </w:r>
      <w:r>
        <w:rPr>
          <w:rFonts w:ascii="NimbusMonL" w:hAnsi="NimbusMonL" w:eastAsia="NimbusMonL"/>
          <w:b w:val="0"/>
          <w:i w:val="0"/>
          <w:color w:val="000000"/>
          <w:sz w:val="20"/>
        </w:rPr>
        <w:hyperlink r:id="rId27" w:history="1">
          <w:r>
            <w:rPr>
              <w:rStyle w:val="Hyperlink"/>
            </w:rPr>
            <w:t>https://doi.org/10.1016/j.engappai.2021.104347</w:t>
          </w:r>
        </w:hyperlink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.</w:t>
      </w:r>
    </w:p>
    <w:p>
      <w:pPr>
        <w:autoSpaceDN w:val="0"/>
        <w:autoSpaceDE w:val="0"/>
        <w:widowControl/>
        <w:spacing w:line="238" w:lineRule="exact" w:before="182" w:after="0"/>
        <w:ind w:left="440" w:right="20" w:hanging="440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>[16]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V.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Le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Pochat,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Van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Goethem,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Tajalizadehkhoob,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M.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Korczy´nski,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Joosen,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“Tranco: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research-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oriented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top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sites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ranking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hardened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against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manipulation,”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in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Proceedings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of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Network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and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 xml:space="preserve">Distributed 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System Security Symposium (NDSS)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, 2019. [Online], Available:</w:t>
      </w:r>
      <w:r>
        <w:rPr>
          <w:rFonts w:ascii="NimbusMonL" w:hAnsi="NimbusMonL" w:eastAsia="NimbusMonL"/>
          <w:b w:val="0"/>
          <w:i w:val="0"/>
          <w:color w:val="000000"/>
          <w:sz w:val="20"/>
        </w:rPr>
        <w:t xml:space="preserve"> </w:t>
      </w:r>
      <w:r>
        <w:rPr>
          <w:rFonts w:ascii="NimbusMonL" w:hAnsi="NimbusMonL" w:eastAsia="NimbusMonL"/>
          <w:b w:val="0"/>
          <w:i w:val="0"/>
          <w:color w:val="000000"/>
          <w:sz w:val="20"/>
        </w:rPr>
        <w:hyperlink r:id="rId28" w:history="1">
          <w:r>
            <w:rPr>
              <w:rStyle w:val="Hyperlink"/>
            </w:rPr>
            <w:t xml:space="preserve">https://doi.org/10.14722/ndss. </w:t>
          </w:r>
        </w:hyperlink>
      </w:r>
      <w:r>
        <w:rPr>
          <w:rFonts w:ascii="NimbusMonL" w:hAnsi="NimbusMonL" w:eastAsia="NimbusMonL"/>
          <w:b w:val="0"/>
          <w:i w:val="0"/>
          <w:color w:val="000000"/>
          <w:sz w:val="20"/>
        </w:rPr>
        <w:hyperlink r:id="rId28" w:history="1">
          <w:r>
            <w:rPr>
              <w:rStyle w:val="Hyperlink"/>
            </w:rPr>
            <w:t>2019.23386</w:t>
          </w:r>
        </w:hyperlink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440" w:val="left"/>
          <w:tab w:pos="7466" w:val="left"/>
        </w:tabs>
        <w:autoSpaceDE w:val="0"/>
        <w:widowControl/>
        <w:spacing w:line="240" w:lineRule="exact" w:before="178" w:after="0"/>
        <w:ind w:left="0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>[17]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L.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Breiman,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“Random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forests,”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Machine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Learning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vol.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45,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no.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1,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pp.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5–32,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2001.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[Online],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Available: </w:t>
      </w:r>
      <w:r>
        <w:tab/>
      </w:r>
      <w:r>
        <w:rPr>
          <w:rFonts w:ascii="NimbusMonL" w:hAnsi="NimbusMonL" w:eastAsia="NimbusMonL"/>
          <w:b w:val="0"/>
          <w:i w:val="0"/>
          <w:color w:val="000000"/>
          <w:sz w:val="20"/>
        </w:rPr>
        <w:hyperlink r:id="rId29" w:history="1">
          <w:r>
            <w:rPr>
              <w:rStyle w:val="Hyperlink"/>
            </w:rPr>
            <w:t>https://doi.org/10.1023/A:1010933404324</w:t>
          </w:r>
        </w:hyperlink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.</w:t>
      </w:r>
    </w:p>
    <w:p>
      <w:pPr>
        <w:autoSpaceDN w:val="0"/>
        <w:autoSpaceDE w:val="0"/>
        <w:widowControl/>
        <w:spacing w:line="240" w:lineRule="exact" w:before="178" w:after="0"/>
        <w:ind w:left="440" w:right="20" w:hanging="440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>[18]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Chen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and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Guestrin,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“XGBoost: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scalable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tree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boosting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system,”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in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Proceedings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of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22nd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 xml:space="preserve">ACM 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>SIGKDD International Conference on Knowledge Discovery and Data Mining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, pp. 785–794, 2016.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[Online],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Available:</w:t>
      </w:r>
      <w:r>
        <w:rPr>
          <w:rFonts w:ascii="NimbusMonL" w:hAnsi="NimbusMonL" w:eastAsia="NimbusMonL"/>
          <w:b w:val="0"/>
          <w:i w:val="0"/>
          <w:color w:val="000000"/>
          <w:sz w:val="20"/>
        </w:rPr>
        <w:hyperlink r:id="rId30" w:history="1">
          <w:r>
            <w:rPr>
              <w:rStyle w:val="Hyperlink"/>
            </w:rPr>
            <w:t>https://doi.org/10.1145/2939672.2939785</w:t>
          </w:r>
        </w:hyperlink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440" w:val="left"/>
        </w:tabs>
        <w:autoSpaceDE w:val="0"/>
        <w:widowControl/>
        <w:spacing w:line="240" w:lineRule="exact" w:before="178" w:after="0"/>
        <w:ind w:left="0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>[19]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S. Agarwal and M. Vasek, “Examining newly registered phishing domains at scale,”</w:t>
      </w:r>
      <w:r>
        <w:rPr>
          <w:rFonts w:ascii="NimbusRomNo9L" w:hAnsi="NimbusRomNo9L" w:eastAsia="NimbusRomNo9L"/>
          <w:b w:val="0"/>
          <w:i/>
          <w:color w:val="000000"/>
          <w:sz w:val="20"/>
        </w:rPr>
        <w:t xml:space="preserve"> Journal of Cybersecurity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, </w:t>
      </w:r>
      <w:r>
        <w:tab/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vol. 12, no. 1, 2026.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[Online], Available:</w:t>
      </w:r>
      <w:r>
        <w:rPr>
          <w:rFonts w:ascii="NimbusMonL" w:hAnsi="NimbusMonL" w:eastAsia="NimbusMonL"/>
          <w:b w:val="0"/>
          <w:i w:val="0"/>
          <w:color w:val="000000"/>
          <w:sz w:val="20"/>
        </w:rPr>
        <w:hyperlink r:id="rId31" w:history="1">
          <w:r>
            <w:rPr>
              <w:rStyle w:val="Hyperlink"/>
            </w:rPr>
            <w:t>https://doi.org/10.1093/cybsec/tyag020</w:t>
          </w:r>
        </w:hyperlink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.</w:t>
      </w:r>
    </w:p>
    <w:sectPr w:rsidR="00FC693F" w:rsidRPr="0006063C" w:rsidSect="00034616">
      <w:pgSz w:w="11909" w:h="16834"/>
      <w:pgMar w:top="332" w:right="1390" w:bottom="1440" w:left="1412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hyperlink" Target="https://doi.org/10.1145/2523813" TargetMode="External"/><Relationship Id="rId14" Type="http://schemas.openxmlformats.org/officeDocument/2006/relationships/hyperlink" Target="https://doi.org/10.5455/jjcit.71-1600061738" TargetMode="External"/><Relationship Id="rId15" Type="http://schemas.openxmlformats.org/officeDocument/2006/relationships/hyperlink" Target="https://doi.org/10.1016/j.eswa.2018.09.029" TargetMode="External"/><Relationship Id="rId16" Type="http://schemas.openxmlformats.org/officeDocument/2006/relationships/hyperlink" Target="https://doi.org/10.5455/jjcit.71-1694806966" TargetMode="External"/><Relationship Id="rId17" Type="http://schemas.openxmlformats.org/officeDocument/2006/relationships/hyperlink" Target="https://doi.org/10.5455/jjcit.71-1629527707" TargetMode="External"/><Relationship Id="rId18" Type="http://schemas.openxmlformats.org/officeDocument/2006/relationships/hyperlink" Target="https://www.usenix.org/conference/usenixsecurity19/presentation/pendlebury" TargetMode="External"/><Relationship Id="rId19" Type="http://schemas.openxmlformats.org/officeDocument/2006/relationships/hyperlink" Target="https://doi.org/10.1108/ijpcc-12-2023-0358" TargetMode="External"/><Relationship Id="rId20" Type="http://schemas.openxmlformats.org/officeDocument/2006/relationships/hyperlink" Target="https://doi.org/10.1109/SaTML54575.2023.00031" TargetMode="External"/><Relationship Id="rId21" Type="http://schemas.openxmlformats.org/officeDocument/2006/relationships/hyperlink" Target="https://doi.org/10.1109/COMST.2015.2494502" TargetMode="External"/><Relationship Id="rId22" Type="http://schemas.openxmlformats.org/officeDocument/2006/relationships/hyperlink" Target="https://doi.org/10.1002/sec.1674" TargetMode="External"/><Relationship Id="rId23" Type="http://schemas.openxmlformats.org/officeDocument/2006/relationships/hyperlink" Target="https://doi.org/10.1049/iet-ifs.2013.0202" TargetMode="External"/><Relationship Id="rId24" Type="http://schemas.openxmlformats.org/officeDocument/2006/relationships/hyperlink" Target="https://doi.org/10.1007/s00521-013-1490-z" TargetMode="External"/><Relationship Id="rId25" Type="http://schemas.openxmlformats.org/officeDocument/2006/relationships/hyperlink" Target="https://doi.org/10.1109/icaccs48705.2020.9074400" TargetMode="External"/><Relationship Id="rId26" Type="http://schemas.openxmlformats.org/officeDocument/2006/relationships/hyperlink" Target="https://doi.org/10.1007/s12046-020-01392-4" TargetMode="External"/><Relationship Id="rId27" Type="http://schemas.openxmlformats.org/officeDocument/2006/relationships/hyperlink" Target="https://doi.org/10.1016/j.engappai.2021.104347" TargetMode="External"/><Relationship Id="rId28" Type="http://schemas.openxmlformats.org/officeDocument/2006/relationships/hyperlink" Target="https://doi.org/10.14722/ndss.2019.23386" TargetMode="External"/><Relationship Id="rId29" Type="http://schemas.openxmlformats.org/officeDocument/2006/relationships/hyperlink" Target="https://doi.org/10.1023/A:1010933404324" TargetMode="External"/><Relationship Id="rId30" Type="http://schemas.openxmlformats.org/officeDocument/2006/relationships/hyperlink" Target="https://doi.org/10.1145/2939672.2939785" TargetMode="External"/><Relationship Id="rId31" Type="http://schemas.openxmlformats.org/officeDocument/2006/relationships/hyperlink" Target="https://doi.org/10.1093/cybsec/tyag02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