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712"/>
        <w:ind w:left="0" w:right="0"/>
      </w:pPr>
    </w:p>
    <w:p>
      <w:pPr>
        <w:autoSpaceDN w:val="0"/>
        <w:autoSpaceDE w:val="0"/>
        <w:widowControl/>
        <w:spacing w:line="418" w:lineRule="exact" w:before="0" w:after="0"/>
        <w:ind w:left="288" w:right="288" w:firstLine="0"/>
        <w:jc w:val="center"/>
      </w:pPr>
      <w:r>
        <w:rPr>
          <w:rFonts w:ascii="NimbusRomNo9L" w:hAnsi="NimbusRomNo9L" w:eastAsia="NimbusRomNo9L"/>
          <w:b/>
          <w:i w:val="0"/>
          <w:color w:val="000000"/>
          <w:sz w:val="40"/>
        </w:rPr>
        <w:t xml:space="preserve">CONCEPT DRIFT IN URL-BASED PHISHING </w:t>
      </w:r>
      <w:r>
        <w:rPr>
          <w:rFonts w:ascii="NimbusRomNo9L" w:hAnsi="NimbusRomNo9L" w:eastAsia="NimbusRomNo9L"/>
          <w:b/>
          <w:i w:val="0"/>
          <w:color w:val="000000"/>
          <w:sz w:val="40"/>
        </w:rPr>
        <w:t>DETECTION: A TEMPORAL EVALUATION</w:t>
      </w:r>
    </w:p>
    <w:p>
      <w:pPr>
        <w:autoSpaceDN w:val="0"/>
        <w:autoSpaceDE w:val="0"/>
        <w:widowControl/>
        <w:spacing w:line="240" w:lineRule="exact" w:before="138" w:after="0"/>
        <w:ind w:left="0" w:right="0" w:firstLine="0"/>
        <w:jc w:val="center"/>
      </w:pPr>
      <w:r>
        <w:t>Juan Pablo Aviles-Esparza, Italo Tenempaguay-Granizo, Isaac David Torres-Paredes*</w:t>
      </w:r>
    </w:p>
    <w:p>
      <w:pPr>
        <w:autoSpaceDN w:val="0"/>
        <w:autoSpaceDE w:val="0"/>
        <w:widowControl/>
        <w:spacing w:line="240" w:lineRule="exact" w:before="49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September 4, 2026</w:t>
      </w:r>
    </w:p>
    <w:p>
      <w:pPr>
        <w:autoSpaceDN w:val="0"/>
        <w:autoSpaceDE w:val="0"/>
        <w:widowControl/>
        <w:spacing w:line="258" w:lineRule="exact" w:before="876" w:after="0"/>
        <w:ind w:left="342" w:right="0" w:firstLine="0"/>
        <w:jc w:val="left"/>
      </w:pPr>
      <w:r>
        <w:rPr>
          <w:rFonts w:ascii="NimbusRomNo9L" w:hAnsi="NimbusRomNo9L" w:eastAsia="NimbusRomNo9L"/>
          <w:b/>
          <w:i/>
          <w:color w:val="000000"/>
          <w:sz w:val="26"/>
        </w:rPr>
        <w:t>ABSTRACT</w:t>
      </w:r>
    </w:p>
    <w:p>
      <w:pPr>
        <w:autoSpaceDN w:val="0"/>
        <w:autoSpaceDE w:val="0"/>
        <w:widowControl/>
        <w:spacing w:line="240" w:lineRule="exact" w:before="104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Phishing detectors are almost universally evaluated with random train/test splits, which implicitly assume that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URL’s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characteristics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exchangeable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time.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assumption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lexical-feature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classifiers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(random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forest,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XGBoost,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logistic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regression)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180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days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PhishTank-reported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URLs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plus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matched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sample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domains,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evaluating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designs: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(the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field’s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default),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earliest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testing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each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subsequent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block,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sliding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window,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and cumulative retraining. All three models achieve F1 above 0.98 in every configuration, and the gap between the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random-split baseline and the worst temporally-displaced block is small in absolute terms (0.36 to 0.92 percentage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points of F1, model-dependent). A regression of F1 on temporal distance is significant when pooled across models,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 its precision improves substantially once model-level baseline differences are controlled for (p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022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naive,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0048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controlling for model as a fixed effect); a Page test for a monotonic decreasing trend across the three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models as judges agrees (Z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66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004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). We argue the near-ceiling performance points partly to a design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choice rather than a solved problem: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removing the four features most associated with how the legitimate class was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constructed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</w:t>
      </w:r>
      <w:r>
        <w:rPr>
          <w:rFonts w:ascii="NimbusMonL" w:hAnsi="NimbusMonL" w:eastAsia="NimbusMonL"/>
          <w:b w:val="0"/>
          <w:i/>
          <w:color w:val="000000"/>
          <w:sz w:val="20"/>
        </w:rPr>
        <w:t>is_https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MonL" w:hAnsi="NimbusMonL" w:eastAsia="NimbusMonL"/>
          <w:b w:val="0"/>
          <w:i/>
          <w:color w:val="000000"/>
          <w:sz w:val="20"/>
        </w:rPr>
        <w:t>path_length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MonL" w:hAnsi="NimbusMonL" w:eastAsia="NimbusMonL"/>
          <w:b w:val="0"/>
          <w:i/>
          <w:color w:val="000000"/>
          <w:sz w:val="20"/>
        </w:rPr>
        <w:t>num_slashes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MonL" w:hAnsi="NimbusMonL" w:eastAsia="NimbusMonL"/>
          <w:b w:val="0"/>
          <w:i/>
          <w:color w:val="000000"/>
          <w:sz w:val="20"/>
        </w:rPr>
        <w:t>url_length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drops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3.3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4.1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percentage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points across models,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confirming that the choice of negative class (well-established top-ranked domains) inflates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 reported ceiling; the four ablated features are not the sole source of the near-ceiling result, though the remain-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ing features may still encode the same domain-versus-full-URL asymmetry; a negative class of full legitimate URLs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would be needed to settle this.</w:t>
      </w:r>
    </w:p>
    <w:p>
      <w:pPr>
        <w:autoSpaceDN w:val="0"/>
        <w:autoSpaceDE w:val="0"/>
        <w:widowControl/>
        <w:spacing w:line="260" w:lineRule="exact" w:before="234" w:after="0"/>
        <w:ind w:left="342" w:right="0" w:firstLine="0"/>
        <w:jc w:val="left"/>
      </w:pPr>
      <w:r>
        <w:rPr>
          <w:rFonts w:ascii="NimbusRomNo9L" w:hAnsi="NimbusRomNo9L" w:eastAsia="NimbusRomNo9L"/>
          <w:b/>
          <w:i/>
          <w:color w:val="000000"/>
          <w:sz w:val="26"/>
        </w:rPr>
        <w:t>KEYWORDS</w:t>
      </w:r>
    </w:p>
    <w:p>
      <w:pPr>
        <w:autoSpaceDN w:val="0"/>
        <w:tabs>
          <w:tab w:pos="342" w:val="left"/>
        </w:tabs>
        <w:autoSpaceDE w:val="0"/>
        <w:widowControl/>
        <w:spacing w:line="238" w:lineRule="exact" w:before="224" w:after="0"/>
        <w:ind w:left="4" w:right="0" w:firstLine="0"/>
        <w:jc w:val="left"/>
      </w:pPr>
      <w:r>
        <w:tab/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detection,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Concept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drift,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evaluation,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Adversarial machine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learning,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Cy-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bersecurity.</w:t>
      </w:r>
    </w:p>
    <w:p>
      <w:pPr>
        <w:autoSpaceDN w:val="0"/>
        <w:autoSpaceDE w:val="0"/>
        <w:widowControl/>
        <w:spacing w:line="286" w:lineRule="exact" w:before="580" w:after="0"/>
        <w:ind w:left="4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1 INTRODUCTION</w:t>
      </w:r>
    </w:p>
    <w:p>
      <w:pPr>
        <w:autoSpaceDN w:val="0"/>
        <w:autoSpaceDE w:val="0"/>
        <w:widowControl/>
        <w:spacing w:line="240" w:lineRule="exact" w:before="340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adversarial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broader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concept-drift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problem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machine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learning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[1]: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attackers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change URL patterns, hosting infrastructure, and lexical tricks specifically to evade whatever a detector has already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learned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flag.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single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train/test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every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dataset as drawn from one stationary distribution, which is precisely the assumption an adversarial, evolving threat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violates. If that assumption is wrong,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published accuracy figures based on random splits systematically overstate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what a detector will achieve once deployed against future, unseen phishing campaigns.</w:t>
      </w:r>
    </w:p>
    <w:p>
      <w:pPr>
        <w:autoSpaceDN w:val="0"/>
        <w:autoSpaceDE w:val="0"/>
        <w:widowControl/>
        <w:spacing w:line="240" w:lineRule="exact" w:before="238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This paper asks how much that gap actually is, using a temporal evaluation design rather than a random one,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common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mitigation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strategies,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periodic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sliding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window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versus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cumulative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retraining that keeps all historical examples, to see whether either meaningfully closes it. We evaluate on 180 days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of continuously reported phishing URLs, which lets us construct genuinely time-ordered evaluation blocks rather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 simulating drift artificially.</w:t>
      </w:r>
    </w:p>
    <w:p>
      <w:pPr>
        <w:autoSpaceDN w:val="0"/>
        <w:autoSpaceDE w:val="0"/>
        <w:widowControl/>
        <w:spacing w:line="240" w:lineRule="exact" w:before="238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contributions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work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(1)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block-based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classifiers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real, timestamped data, contrasted directly against the random-split baseline the field defaults to; (2) a statistically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defensible estimate of the degradation trend’s significance, using an ANCOVA specification that separates within-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alongside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specification-free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cross-check;</w:t>
      </w:r>
    </w:p>
    <w:p>
      <w:pPr>
        <w:autoSpaceDN w:val="0"/>
        <w:autoSpaceDE w:val="0"/>
        <w:widowControl/>
        <w:spacing w:line="184" w:lineRule="exact" w:before="264" w:after="0"/>
        <w:ind w:left="246" w:right="0" w:firstLine="0"/>
        <w:jc w:val="left"/>
      </w:pPr>
      <w:r>
        <w:t>*Juan Pablo Aviles-Esparza, Italo Tenempaguay-Granizo, Isaac David Torres-Paredes is with the Software Engineering Department, Faculty of Informatics and Electronics, Escuela Superior Politecnica de Chimborazo (ESPOCH), Riobamba 060155, Ecuador. E-mail:juan.aviles@espoch.edu.ec</w:t>
      </w:r>
    </w:p>
    <w:p>
      <w:pPr>
        <w:autoSpaceDN w:val="0"/>
        <w:autoSpaceDE w:val="0"/>
        <w:widowControl/>
        <w:spacing w:line="218" w:lineRule="exact" w:before="38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</w:p>
    <w:p>
      <w:pPr>
        <w:sectPr>
          <w:pgSz w:w="11909" w:h="16834"/>
          <w:pgMar w:top="934" w:right="1390" w:bottom="1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t>2 "Concept Drift in URL-Based Phishing Detection: A Temporal Evaluation", Juan Pablo Aviles-Esparza, Italo Tenempaguay-Granizo, Isaac David Torres-Paredes.</w:t>
      </w:r>
    </w:p>
    <w:p>
      <w:pPr>
        <w:autoSpaceDN w:val="0"/>
        <w:autoSpaceDE w:val="0"/>
        <w:widowControl/>
        <w:spacing w:line="240" w:lineRule="exact" w:before="554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(3) a mechanistic account, grounded in feature-distribution and feature-importance evidence rather than aggregate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metrics alone, of why the measured degradation is small: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 easy negative class, not a solved drift problem.</w:t>
      </w:r>
    </w:p>
    <w:p>
      <w:pPr>
        <w:autoSpaceDN w:val="0"/>
        <w:autoSpaceDE w:val="0"/>
        <w:widowControl/>
        <w:spacing w:line="286" w:lineRule="exact" w:before="576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2 RELATED WORK</w:t>
      </w:r>
    </w:p>
    <w:p>
      <w:pPr>
        <w:autoSpaceDN w:val="0"/>
        <w:autoSpaceDE w:val="0"/>
        <w:widowControl/>
        <w:spacing w:line="240" w:lineRule="exact" w:before="340" w:after="0"/>
        <w:ind w:left="0" w:right="13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Odeh et al. [2] propose PhiBoost, an adaptive-boosting phishing detector built on lexical and host-based URL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strong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within-distribution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accuracy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conventional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held-out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exactly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uation protocol this paper argues is insufficient on its own,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since it cannot distinguish a detector that has learned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durable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indicators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overfit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particular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campaigns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present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window.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Sahingoz et al. [3] benchmark seven classifiers (including Random Forest, the best-performing model in both their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study and ours) on a mixed lexical-and-content feature set, and likewise report F1 scores above 0.97 using a stan-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dard random 80/20 split; their feature set and evaluation setup are directly comparable to ours, making the 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gap we identify a direct reinterpretation of their baseline rather than a critique of the specific classifier choice. Al-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slman et al. [4] evaluate ensemble models (the same broad model family we use here) for DDoS attack detection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 scale using Spark,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like most applied network-security classification work,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 not examine whether detec-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tion performance is stable as the underlying attack traffic evolves over time; our temporal-block design is directly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applicable to that setting as well, and we frame our contribution partly as a methodological recommendation 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extends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beyond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tasks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built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adversarial,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time-varying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Fur-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thermore, in a systematic survey within this journal’s scope, Ashi et al. [5] examine supervised machine-learning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classifiers and dimensionality reduction techniques for network intrusion detection, underscoring that benchmarked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detection performance is critically sensitive to feature choice and evaluation rigor; our study directly extends 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methodological perspective by investigating how temporal drift affects lexical feature stability under longitudinal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deployment.</w:t>
      </w:r>
    </w:p>
    <w:p>
      <w:pPr>
        <w:autoSpaceDN w:val="0"/>
        <w:autoSpaceDE w:val="0"/>
        <w:widowControl/>
        <w:spacing w:line="240" w:lineRule="exact" w:before="238" w:after="0"/>
        <w:ind w:left="0" w:right="13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This concern is not new to security classification in general: Pendlebury et al. [6] name and formalize the same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failure mode for malware classifiers under the label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temporal bias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showing that a naive random train/test split can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silently mix future and past samples and thereby overstate real-world performance, and propose constraints (train-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ing strictly on past data, realistic class-ratio testing) that our fixed, sliding-window, and cumulative designs already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satisfy by construction; we are not aware of a comparable temporal-bias analysis having been applied to phishing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 classification specifically,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which is the gap this paper addresses. Jemili et al. [7] extend this line of work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network intrusion detection, showing that a classifier that combines online concept-drift detection with incremental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 substantially narrows the performance gap between static and adaptive systems;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their empirical design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confirms that drift is real and measurable in security-relevant classification streams,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but they do not study lexical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 features or control for the contribution of class-boundary difficulty to the observed gap, which is the mecha-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nistic question we pursue here. Apruzzese et al. [8] survey the gap between adversarial machine-learning research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practice,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arguing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attackers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rarely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employ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gradient-based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perturbations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studied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literature,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implicit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random-split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therefore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doubly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unrealistic: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ordering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assumed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adversarial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capability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depart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deployment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conditions.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take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observation as additional motivation for a design that at least corrects the temporal dimension, even if it does not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resolve the adversarial-realism dimension.</w:t>
      </w:r>
    </w:p>
    <w:p>
      <w:pPr>
        <w:autoSpaceDN w:val="0"/>
        <w:autoSpaceDE w:val="0"/>
        <w:widowControl/>
        <w:spacing w:line="240" w:lineRule="exact" w:before="238" w:after="0"/>
        <w:ind w:left="0" w:right="13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challenge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concept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cyber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documented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survey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Buczak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 Guven [9], who review over 50 machine-learning methods for intrusion detection and identify temporal non-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stationarity as one of five core challenges for production deployment, alongside class imbalance, feature selection,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computational cost,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 the scarcity of labeled attack data. Critically,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they find that no single study among those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reviewed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addresses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simultaneously,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particular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usually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handled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implicitly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(by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scratch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principled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comparison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strategies.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study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contributes precisely that comparison for the phishing-URL domain, testing fixed, sliding-window, and cumulative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 under controlled temporal separation. Varshney, Misra and Atrey [10] provide a complementary survey-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taxonomy,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classifying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phishing-detection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schemes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type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(visual,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content-based,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network-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based);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study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exclusively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their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“lexical”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category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answer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question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their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survey identifies but does not resolve empirically: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whether lexical-only detectors maintain their reported accuracy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 the phishing campaign population evolves over time.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feature-engineering and modelling approaches evaluated in this paper have direct precedents in the phishing-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literature.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Mohammad,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Thabtah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McCluskey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[11]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introduce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intelligent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rule-based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for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phishing websites using URL and page-level features, and in a companion study [12] apply self-structuring neural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networks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family;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high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accuracy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conventional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their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directly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random-split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condition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therefore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subject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</w:p>
    <w:p>
      <w:pPr>
        <w:sectPr>
          <w:pgSz w:w="11909" w:h="16834"/>
          <w:pgMar w:top="332" w:right="128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p>
      <w:pPr>
        <w:autoSpaceDN w:val="0"/>
        <w:autoSpaceDE w:val="0"/>
        <w:widowControl/>
        <w:spacing w:line="160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p>
      <w:pPr>
        <w:autoSpaceDN w:val="0"/>
        <w:autoSpaceDE w:val="0"/>
        <w:widowControl/>
        <w:spacing w:line="240" w:lineRule="exact" w:before="5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same temporal-bias concern that Pendlebury et al. [6] formalize for malware and that we quantify here for phish-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ing. Singh and Meenu [13] survey recent machine-learning approaches to phishing-URL detection and document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 the standard evaluation protocol in the recent literature remains the random train/test split,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with no 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separation between training and evaluation data, exactly the methodological gap this paper addresses. Somesha et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al. [14] apply CNN and LSTM architectures to URL-based phishing detection and find that deep learning does not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consistently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outperform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result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consistent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our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own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best-performing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Hannousse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Yahiouche [15] construct and evaluate benchmark datasets for ML-based phishing detection and show that dataset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composition,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particularly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choice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systematically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affects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metrics,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directly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aligned with our observation that the Tranco-derived legitimate class inflates the detection ceiling by 3.3 to 4.1 F1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points (Results, Table 4).</w:t>
      </w:r>
    </w:p>
    <w:p>
      <w:pPr>
        <w:autoSpaceDN w:val="0"/>
        <w:autoSpaceDE w:val="0"/>
        <w:widowControl/>
        <w:spacing w:line="286" w:lineRule="exact" w:before="614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3 METHODOLOGY</w:t>
      </w:r>
    </w:p>
    <w:p>
      <w:pPr>
        <w:autoSpaceDN w:val="0"/>
        <w:autoSpaceDE w:val="0"/>
        <w:widowControl/>
        <w:spacing w:line="240" w:lineRule="exact" w:before="388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3.1 Data</w:t>
      </w:r>
    </w:p>
    <w:p>
      <w:pPr>
        <w:autoSpaceDN w:val="0"/>
        <w:autoSpaceDE w:val="0"/>
        <w:widowControl/>
        <w:spacing w:line="240" w:lineRule="exact" w:before="35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drawn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PhishTank’s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public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feed,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source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ships a reliable, unauthenticated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submission_time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timestamp per URL (OpenPhish’s community feed and 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static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UCI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/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PhiUSIIL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datasets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carry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per-record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excluded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reason).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recent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180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days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(29,299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URLs),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earliest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weeks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of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full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historical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having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week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balanced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URLs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sampled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top-1M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[16],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chosen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alternatives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(now-discontinued)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Alexa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resist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list-manipulation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attacks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make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popularity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rankings an unreliable ground truth for security research. Because Tranco is a single ranked snapshot rather than a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dated feed, each sampled legitimate URL was assigned a synthetic timestamp drawn uniformly over the same 180-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day window as the phishing data, a deliberate simplification justified because domain reputation for an established,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highly ranked site does not meaningfully change on a 180-day horizon, in contrast to phishing infrastructure, which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exactly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study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measures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changing.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dataset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balanced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construction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(29,299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phishing,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29,299 legitimate).</w:t>
      </w:r>
    </w:p>
    <w:p>
      <w:pPr>
        <w:autoSpaceDN w:val="0"/>
        <w:autoSpaceDE w:val="0"/>
        <w:widowControl/>
        <w:spacing w:line="240" w:lineRule="exact" w:before="54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3.2 Features</w:t>
      </w:r>
    </w:p>
    <w:p>
      <w:pPr>
        <w:autoSpaceDN w:val="0"/>
        <w:autoSpaceDE w:val="0"/>
        <w:widowControl/>
        <w:spacing w:line="238" w:lineRule="exact" w:before="352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extract 32 lexical features per URL requiring no live network access (URL/hostname/path length, counts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dots/hyphens/digits/special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characters,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subdomain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count,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IP-literal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hostname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flag,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presence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known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URL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shortener, Shannon entropy of the URL and hostname strings, a count of phishing-associated keywords, and related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structural features). Table 1 lists all 32 with their definitions.</w:t>
      </w:r>
    </w:p>
    <w:p>
      <w:pPr>
        <w:autoSpaceDN w:val="0"/>
        <w:autoSpaceDE w:val="0"/>
        <w:widowControl/>
        <w:spacing w:line="240" w:lineRule="exact" w:before="54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3.3 Temporal evaluation designs</w:t>
      </w:r>
    </w:p>
    <w:p>
      <w:pPr>
        <w:autoSpaceDN w:val="0"/>
        <w:autoSpaceDE w:val="0"/>
        <w:widowControl/>
        <w:spacing w:line="238" w:lineRule="exact" w:before="352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timestamp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divided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six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equal-sized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sample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count.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four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designs: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(i)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80/20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ignoring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(ii)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fixed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evaluating separately on blocks 2 through 6, to isolate pure degradation with distance; (iii)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sliding window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training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 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and evaluating on 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k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1 for each consecutive pair, simulating periodic retraining on only the most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recent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(iv)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cumulative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through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k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simulating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retraining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keeps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full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history.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[17],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XGBoost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[18],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logistic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identical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standardized features across designs.</w:t>
      </w:r>
    </w:p>
    <w:p>
      <w:pPr>
        <w:autoSpaceDN w:val="0"/>
        <w:autoSpaceDE w:val="0"/>
        <w:widowControl/>
        <w:spacing w:line="238" w:lineRule="exact" w:before="54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3.4 Statistical analysis</w:t>
      </w:r>
    </w:p>
    <w:p>
      <w:pPr>
        <w:autoSpaceDN w:val="0"/>
        <w:autoSpaceDE w:val="0"/>
        <w:widowControl/>
        <w:spacing w:line="240" w:lineRule="exact" w:before="35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regress F1 on temporal distance for the fixed design, per model, pooled naively across models, and pooled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fixed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effect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(ANCOVA: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f1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~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distance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+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separate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within-model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with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naive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pooled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otherwise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folds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residual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variance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thereby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understates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significance.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linear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t>4 "Concept Drift in URL-Based Phishing Detection: A Temporal Evaluation", Juan Pablo Aviles-Esparza, Italo Tenempaguay-Granizo, Isaac David Torres-Paredes.</w:t>
      </w:r>
    </w:p>
    <w:p>
      <w:pPr>
        <w:autoSpaceDN w:val="0"/>
        <w:autoSpaceDE w:val="0"/>
        <w:widowControl/>
        <w:spacing w:line="218" w:lineRule="exact" w:before="552" w:after="228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1. Lexical features extracted per URL.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32.0000000000002" w:type="dxa"/>
      </w:tblPr>
      <w:tblGrid>
        <w:gridCol w:w="4553"/>
        <w:gridCol w:w="4553"/>
      </w:tblGrid>
      <w:tr>
        <w:trPr>
          <w:trHeight w:hRule="exact" w:val="332"/>
        </w:trPr>
        <w:tc>
          <w:tcPr>
            <w:tcW w:type="dxa" w:w="2496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Feature</w:t>
            </w:r>
          </w:p>
        </w:tc>
        <w:tc>
          <w:tcPr>
            <w:tcW w:type="dxa" w:w="512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0" w:after="0"/>
              <w:ind w:left="45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Definition</w:t>
            </w:r>
          </w:p>
        </w:tc>
      </w:tr>
      <w:tr>
        <w:trPr>
          <w:trHeight w:hRule="exact" w:val="4626"/>
        </w:trPr>
        <w:tc>
          <w:tcPr>
            <w:tcW w:type="dxa" w:w="2496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128" w:right="432" w:firstLine="0"/>
              <w:jc w:val="left"/>
            </w:pP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url_length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hostname_length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path_length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num_dots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num_hyphens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num_underscores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num_slashes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num_question_marks 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num_equals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num_at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num_ampersands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num_percent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num_digits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digit_ratio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num_subdomains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has_ip_address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has_port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is_https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url_entropy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hostname_entropy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>is_shortened</w:t>
            </w:r>
          </w:p>
        </w:tc>
        <w:tc>
          <w:tcPr>
            <w:tcW w:type="dxa" w:w="512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454" w:right="576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 length of the full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 length of the hostname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 length of the URL path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.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-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_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/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?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@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&amp;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%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Count of digit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Digit characters as a fraction of URL length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Number of hostname labels beyond domain and TLD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if the hostname is a literal IPv4 address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if a port number is present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 if the scheme is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https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Shannon entropy of the full URL string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Shannon entropy of the hostname string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 if hostname matches a known URL-shortener domain</w:t>
            </w:r>
          </w:p>
        </w:tc>
      </w:tr>
    </w:tbl>
    <w:p>
      <w:pPr>
        <w:autoSpaceDN w:val="0"/>
        <w:autoSpaceDE w:val="0"/>
        <w:widowControl/>
        <w:spacing w:line="14" w:lineRule="exact" w:before="0" w:after="32"/>
        <w:ind w:left="0" w:right="0"/>
      </w:pPr>
    </w:p>
    <w:p>
      <w:pPr>
        <w:sectPr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860" w:right="144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num_suspicious_keywords 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>has_suspicious_keyword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 w:num="2" w:equalWidth="0">
            <w:col w:w="3508" w:space="0"/>
            <w:col w:w="5598" w:space="0"/>
          </w:cols>
          <w:docGrid w:linePitch="360"/>
        </w:sectPr>
      </w:pPr>
    </w:p>
    <w:p>
      <w:pPr>
        <w:autoSpaceDN w:val="0"/>
        <w:autoSpaceDE w:val="0"/>
        <w:widowControl/>
        <w:spacing w:line="200" w:lineRule="exact" w:before="0" w:after="30"/>
        <w:ind w:left="174" w:right="86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Count of phishing-associated keywords (e.g., “login”, “verify”)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 any suspicious keyword is present</w:t>
      </w:r>
    </w:p>
    <w:p>
      <w:pPr>
        <w:sectPr>
          <w:type w:val="nextColumn"/>
          <w:pgSz w:w="11909" w:h="16834"/>
          <w:pgMar w:top="332" w:right="1390" w:bottom="400" w:left="1412" w:header="720" w:footer="720" w:gutter="0"/>
          <w:cols w:num="2" w:equalWidth="0">
            <w:col w:w="3508" w:space="0"/>
            <w:col w:w="5598" w:space="0"/>
          </w:cols>
          <w:docGrid w:linePitch="360"/>
        </w:sectPr>
      </w:pPr>
    </w:p>
    <w:p>
      <w:pPr>
        <w:autoSpaceDN w:val="0"/>
        <w:tabs>
          <w:tab w:pos="3682" w:val="left"/>
        </w:tabs>
        <w:autoSpaceDE w:val="0"/>
        <w:widowControl/>
        <w:spacing w:line="180" w:lineRule="exact" w:before="0" w:after="32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domain_length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Character length of the second-level domain label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0" w:lineRule="exact" w:before="0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path_num_segments </w:t>
      </w:r>
      <w:r>
        <w:br/>
      </w:r>
      <w:r>
        <w:rPr>
          <w:rFonts w:ascii="NimbusMonL" w:hAnsi="NimbusMonL" w:eastAsia="NimbusMonL"/>
          <w:b w:val="0"/>
          <w:i w:val="0"/>
          <w:color w:val="000000"/>
          <w:sz w:val="18"/>
        </w:rPr>
        <w:t>has_double_slash_in_path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 w:num="2" w:equalWidth="0">
            <w:col w:w="3562" w:space="0"/>
            <w:col w:w="5544" w:space="0"/>
          </w:cols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32"/>
        <w:ind w:left="120" w:right="2736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Number of non-empty path segments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//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appears inside the path</w:t>
      </w:r>
    </w:p>
    <w:p>
      <w:pPr>
        <w:sectPr>
          <w:type w:val="nextColumn"/>
          <w:pgSz w:w="11909" w:h="16834"/>
          <w:pgMar w:top="332" w:right="1390" w:bottom="400" w:left="1412" w:header="720" w:footer="720" w:gutter="0"/>
          <w:cols w:num="2" w:equalWidth="0">
            <w:col w:w="3562" w:space="0"/>
            <w:col w:w="5544" w:space="0"/>
          </w:cols>
          <w:docGrid w:linePitch="360"/>
        </w:sectPr>
      </w:pPr>
    </w:p>
    <w:p>
      <w:pPr>
        <w:autoSpaceDN w:val="0"/>
        <w:tabs>
          <w:tab w:pos="3682" w:val="left"/>
        </w:tabs>
        <w:autoSpaceDE w:val="0"/>
        <w:widowControl/>
        <w:spacing w:line="178" w:lineRule="exact" w:before="0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num_www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 the hostname starts with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www.</w:t>
      </w:r>
    </w:p>
    <w:p>
      <w:pPr>
        <w:autoSpaceDN w:val="0"/>
        <w:tabs>
          <w:tab w:pos="3682" w:val="left"/>
        </w:tabs>
        <w:autoSpaceDE w:val="0"/>
        <w:widowControl/>
        <w:spacing w:line="190" w:lineRule="exact" w:before="20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longest_label_length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Length of the longest hostname label</w:t>
      </w:r>
    </w:p>
    <w:p>
      <w:pPr>
        <w:autoSpaceDN w:val="0"/>
        <w:tabs>
          <w:tab w:pos="3682" w:val="left"/>
        </w:tabs>
        <w:autoSpaceDE w:val="0"/>
        <w:widowControl/>
        <w:spacing w:line="188" w:lineRule="exact" w:before="22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tld_length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Character length of the top-level domain</w:t>
      </w:r>
    </w:p>
    <w:p>
      <w:pPr>
        <w:autoSpaceDN w:val="0"/>
        <w:tabs>
          <w:tab w:pos="3682" w:val="left"/>
        </w:tabs>
        <w:autoSpaceDE w:val="0"/>
        <w:widowControl/>
        <w:spacing w:line="188" w:lineRule="exact" w:before="22" w:after="3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has_at_symbol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@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appears anywhere in the URL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860" w:right="144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num_dashes_in_hostname 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>vowel_ratio_hostname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 w:num="2" w:equalWidth="0">
            <w:col w:w="3454" w:space="0"/>
            <w:col w:w="5651" w:space="0"/>
          </w:cols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60"/>
        <w:ind w:left="228" w:right="172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>Count of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-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characters within the hostname only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Vowel characters as a fraction of hostname length</w:t>
      </w:r>
    </w:p>
    <w:p>
      <w:pPr>
        <w:sectPr>
          <w:type w:val="nextColumn"/>
          <w:pgSz w:w="11909" w:h="16834"/>
          <w:pgMar w:top="332" w:right="1390" w:bottom="400" w:left="1412" w:header="720" w:footer="720" w:gutter="0"/>
          <w:cols w:num="2" w:equalWidth="0">
            <w:col w:w="3454" w:space="0"/>
            <w:col w:w="5651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exact" w:before="4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only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provides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limited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power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common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monotonic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regardless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specification,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additionally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run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monotonic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decreasing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judges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temporal-distance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conditions,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cross-check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normal-approximation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-value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Monte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Carlo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permutation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null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(100,000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iterations)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given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nominal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power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judges.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sliding-window and cumulative strategies with a paired Wilcoxon signed-rank test per model.</w:t>
      </w:r>
    </w:p>
    <w:p>
      <w:pPr>
        <w:autoSpaceDN w:val="0"/>
        <w:autoSpaceDE w:val="0"/>
        <w:widowControl/>
        <w:spacing w:line="286" w:lineRule="exact" w:before="576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4 RESULTS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 three 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achieve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CMMI10" w:hAnsi="CMMI10" w:eastAsia="CMMI10"/>
          <w:b w:val="0"/>
          <w:i/>
          <w:color w:val="000000"/>
          <w:sz w:val="20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98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every one of the four designs: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there is no configuration in which any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model performs poorly in absolute terms (Figure 1). The comparison that matters is relative: Table 2 shows the gap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random-split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displaced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(fixed-design)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small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(0.09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0.35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percentage points of F1 on average across displaced blocks, model-dependent) but non-zero, and grows toward 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worst-case block (up to 0.92 points for logistic regression); Table 3 gives the full breakdown by block and model.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directionally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but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reaches significance only for the pooled fit (</w:t>
      </w:r>
      <w:r>
        <w:rPr>
          <w:rFonts w:ascii="StandardSymL" w:hAnsi="StandardSymL" w:eastAsia="StandardSymL"/>
          <w:b w:val="0"/>
          <w:i/>
          <w:color w:val="000000"/>
          <w:sz w:val="20"/>
        </w:rPr>
        <w:t>β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00136,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022,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R</w:t>
      </w:r>
      <w:r>
        <w:rPr>
          <w:w w:val="98.29733530680339"/>
          <w:rFonts w:ascii="NimbusRomNo9L" w:hAnsi="NimbusRomNo9L" w:eastAsia="NimbusRomNo9L"/>
          <w:b w:val="0"/>
          <w:i w:val="0"/>
          <w:color w:val="000000"/>
          <w:sz w:val="15"/>
        </w:rPr>
        <w:t>2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34); individually, logistic regression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 marginal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062) and the two tree ensembles are not significant on their own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25 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19). This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naive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pooled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however,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conflates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sources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variance: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fixed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F1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between models (logistic regression trails the two tree ensembles by roughly a full percentage point throughout) 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within-model trend with distance that is the actual quantity of interest. Controlling for model as a fixed effect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(ANCOVA) removes the former from the residual: the slope estimate is unchanged (</w:t>
      </w:r>
      <w:r>
        <w:rPr>
          <w:rFonts w:ascii="StandardSymL" w:hAnsi="StandardSymL" w:eastAsia="StandardSymL"/>
          <w:b w:val="0"/>
          <w:i/>
          <w:color w:val="000000"/>
          <w:sz w:val="20"/>
        </w:rPr>
        <w:t>β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00136, since the design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 balanced across models) but its precision improves substantially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0048,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R</w:t>
      </w:r>
      <w:r>
        <w:rPr>
          <w:w w:val="98.29733530680339"/>
          <w:rFonts w:ascii="NimbusRomNo9L" w:hAnsi="NimbusRomNo9L" w:eastAsia="NimbusRomNo9L"/>
          <w:b w:val="0"/>
          <w:i w:val="0"/>
          <w:color w:val="000000"/>
          <w:sz w:val="15"/>
        </w:rPr>
        <w:t>2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69), because the between-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noise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inflating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naive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residual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variance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longer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attributed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 the Page test as a further, specification-free check of the same conclusion: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treating the three models as judges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1612900</wp:posOffset>
            </wp:positionH>
            <wp:positionV relativeFrom="page">
              <wp:posOffset>2794000</wp:posOffset>
            </wp:positionV>
            <wp:extent cx="4330700" cy="2895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95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60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p>
      <w:pPr>
        <w:autoSpaceDN w:val="0"/>
        <w:autoSpaceDE w:val="0"/>
        <w:widowControl/>
        <w:spacing w:line="218" w:lineRule="exact" w:before="566" w:after="228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2. F1 under random vs. temporal (fixed-training) evaluation.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8.0000000000001" w:type="dxa"/>
      </w:tblPr>
      <w:tblGrid>
        <w:gridCol w:w="2277"/>
        <w:gridCol w:w="2277"/>
        <w:gridCol w:w="2277"/>
        <w:gridCol w:w="2277"/>
      </w:tblGrid>
      <w:tr>
        <w:trPr>
          <w:trHeight w:hRule="exact" w:val="384"/>
        </w:trPr>
        <w:tc>
          <w:tcPr>
            <w:tcW w:type="dxa" w:w="19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Model</w:t>
            </w:r>
          </w:p>
        </w:tc>
        <w:tc>
          <w:tcPr>
            <w:tcW w:type="dxa" w:w="17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 (random split)</w:t>
            </w:r>
          </w:p>
        </w:tc>
        <w:tc>
          <w:tcPr>
            <w:tcW w:type="dxa" w:w="19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 (temporal, avg.)</w:t>
            </w:r>
          </w:p>
        </w:tc>
        <w:tc>
          <w:tcPr>
            <w:tcW w:type="dxa" w:w="259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 (temporal, worst block)</w:t>
            </w:r>
          </w:p>
        </w:tc>
      </w:tr>
      <w:tr>
        <w:trPr>
          <w:trHeight w:hRule="exact" w:val="326"/>
        </w:trPr>
        <w:tc>
          <w:tcPr>
            <w:tcW w:type="dxa" w:w="19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Random Forest</w:t>
            </w:r>
          </w:p>
        </w:tc>
        <w:tc>
          <w:tcPr>
            <w:tcW w:type="dxa" w:w="17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0.9952</w:t>
            </w:r>
          </w:p>
        </w:tc>
        <w:tc>
          <w:tcPr>
            <w:tcW w:type="dxa" w:w="19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0.9943</w:t>
            </w:r>
          </w:p>
        </w:tc>
        <w:tc>
          <w:tcPr>
            <w:tcW w:type="dxa" w:w="259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0.9916</w:t>
            </w:r>
          </w:p>
        </w:tc>
      </w:tr>
      <w:tr>
        <w:trPr>
          <w:trHeight w:hRule="exact" w:val="280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XGBoost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0.9951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0.9935</w:t>
            </w:r>
          </w:p>
        </w:tc>
        <w:tc>
          <w:tcPr>
            <w:tcW w:type="dxa" w:w="2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0.9902</w:t>
            </w:r>
          </w:p>
        </w:tc>
      </w:tr>
      <w:tr>
        <w:trPr>
          <w:trHeight w:hRule="exact" w:val="318"/>
        </w:trPr>
        <w:tc>
          <w:tcPr>
            <w:tcW w:type="dxa" w:w="19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Logistic Regression</w:t>
            </w:r>
          </w:p>
        </w:tc>
        <w:tc>
          <w:tcPr>
            <w:tcW w:type="dxa" w:w="17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0.9934</w:t>
            </w:r>
          </w:p>
        </w:tc>
        <w:tc>
          <w:tcPr>
            <w:tcW w:type="dxa" w:w="192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0.9899</w:t>
            </w:r>
          </w:p>
        </w:tc>
        <w:tc>
          <w:tcPr>
            <w:tcW w:type="dxa" w:w="2594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0.9842</w:t>
            </w:r>
          </w:p>
        </w:tc>
      </w:tr>
    </w:tbl>
    <w:p>
      <w:pPr>
        <w:autoSpaceDN w:val="0"/>
        <w:autoSpaceDE w:val="0"/>
        <w:widowControl/>
        <w:spacing w:line="240" w:lineRule="exact" w:before="96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0"/>
        </w:rPr>
        <w:t>Note: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80%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full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dataset,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whereas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fixed-training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on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roughly one-sixth (block 1 alone).</w:t>
      </w:r>
    </w:p>
    <w:p>
      <w:pPr>
        <w:autoSpaceDN w:val="0"/>
        <w:autoSpaceDE w:val="0"/>
        <w:widowControl/>
        <w:spacing w:line="186" w:lineRule="exact" w:before="882" w:after="0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0.996</w:t>
      </w:r>
    </w:p>
    <w:p>
      <w:pPr>
        <w:autoSpaceDN w:val="0"/>
        <w:autoSpaceDE w:val="0"/>
        <w:widowControl/>
        <w:spacing w:line="186" w:lineRule="exact" w:before="410" w:after="0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0.994</w:t>
      </w:r>
    </w:p>
    <w:p>
      <w:pPr>
        <w:autoSpaceDN w:val="0"/>
        <w:autoSpaceDE w:val="0"/>
        <w:widowControl/>
        <w:spacing w:line="188" w:lineRule="exact" w:before="410" w:after="54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0.992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8.0000000000001" w:type="dxa"/>
      </w:tblPr>
      <w:tblGrid>
        <w:gridCol w:w="4553"/>
        <w:gridCol w:w="4553"/>
      </w:tblGrid>
      <w:tr>
        <w:trPr>
          <w:trHeight w:hRule="exact" w:val="760"/>
        </w:trPr>
        <w:tc>
          <w:tcPr>
            <w:tcW w:type="dxa" w:w="820"/>
            <w:tcBorders/>
            <w:tcMar>
              <w:start w:w="0" w:type="dxa"/>
              <w:end w:w="0" w:type="dxa"/>
            </w:tcMar>
            <w:textDirection w:val="btLr"/>
          </w:tcPr>
          <w:p>
            <w:pPr>
              <w:autoSpaceDN w:val="0"/>
              <w:autoSpaceDE w:val="0"/>
              <w:widowControl/>
              <w:spacing w:line="206" w:lineRule="exact" w:before="600" w:after="0"/>
              <w:ind w:left="0" w:right="0" w:firstLine="0"/>
              <w:jc w:val="center"/>
            </w:pPr>
            <w:r>
              <w:rPr>
                <w:w w:val="101.49285452706474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F1 Score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56" w:after="0"/>
              <w:ind w:left="28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0.990</w:t>
            </w:r>
          </w:p>
        </w:tc>
      </w:tr>
    </w:tbl>
    <w:p>
      <w:pPr>
        <w:autoSpaceDN w:val="0"/>
        <w:autoSpaceDE w:val="0"/>
        <w:widowControl/>
        <w:spacing w:line="186" w:lineRule="exact" w:before="192" w:after="350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0.988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8.0000000000001" w:type="dxa"/>
      </w:tblPr>
      <w:tblGrid>
        <w:gridCol w:w="4553"/>
        <w:gridCol w:w="4553"/>
      </w:tblGrid>
      <w:tr>
        <w:trPr>
          <w:trHeight w:hRule="exact" w:val="37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286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0.986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84" w:after="0"/>
              <w:ind w:left="286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Random Forest</w:t>
            </w:r>
          </w:p>
        </w:tc>
      </w:tr>
    </w:tbl>
    <w:p>
      <w:pPr>
        <w:autoSpaceDN w:val="0"/>
        <w:autoSpaceDE w:val="0"/>
        <w:widowControl/>
        <w:spacing w:line="188" w:lineRule="exact" w:before="2" w:after="2"/>
        <w:ind w:left="0" w:right="6174" w:firstLine="0"/>
        <w:jc w:val="righ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XGBoost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8.0000000000001" w:type="dxa"/>
      </w:tblPr>
      <w:tblGrid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</w:tblGrid>
      <w:tr>
        <w:trPr>
          <w:trHeight w:hRule="exact" w:val="268"/>
        </w:trPr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90" w:after="0"/>
              <w:ind w:left="0" w:right="126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0.984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6" w:after="0"/>
              <w:ind w:left="0" w:right="34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1.0</w:t>
            </w:r>
          </w:p>
        </w:tc>
        <w:tc>
          <w:tcPr>
            <w:tcW w:type="dxa" w:w="43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2" w:after="0"/>
              <w:ind w:left="66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Logistic Regression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6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4.5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6" w:after="0"/>
              <w:ind w:left="248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5.0</w:t>
            </w:r>
          </w:p>
        </w:tc>
      </w:tr>
      <w:tr>
        <w:trPr>
          <w:trHeight w:hRule="exact" w:val="260"/>
        </w:trPr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218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1.5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2.0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2.5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3.0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3.5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4.0</w:t>
            </w:r>
          </w:p>
        </w:tc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</w:tr>
      <w:tr>
        <w:trPr>
          <w:trHeight w:hRule="exact" w:val="264"/>
        </w:trPr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  <w:tc>
          <w:tcPr>
            <w:tcW w:type="dxa" w:w="43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974" w:right="0" w:firstLine="0"/>
              <w:jc w:val="left"/>
            </w:pPr>
            <w:r>
              <w:rPr>
                <w:w w:val="101.49285452706474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Temporal distance to training block (blocks)</w:t>
            </w:r>
          </w:p>
        </w:tc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2" w:lineRule="exact" w:before="196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1. F1 as a function of temporal distance (fixed-training design); dotted lines mark the random-split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baseline for reference.</w:t>
      </w:r>
    </w:p>
    <w:p>
      <w:pPr>
        <w:autoSpaceDN w:val="0"/>
        <w:autoSpaceDE w:val="0"/>
        <w:widowControl/>
        <w:spacing w:line="240" w:lineRule="exact" w:before="60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 F1 across the five temporal-distance conditions, the test rejects the null of no consistent ordering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112,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Z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66,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004, one-sided). While there is a visible non-monotonic spike at distance 4 (block 5) for all three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models (Figure 1), the Page test is sensitive to overall ordinal trend rather than requiring strict monotonicity at every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step, making it an appropriate contrast here. With only three judges, the test’s normal approximation is known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have limited power and reliability, so we additionally computed an exact Monte Carlo permutation null (100,000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iterations, independently permuting each model’s ranking across the five conditions under the null of no association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 rank and temporal distance):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permutation-based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-value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0026, one-sided) agrees closely with,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and is if anything slightly more extreme than, the asymptotic estimate, so the small-sample caveat does not change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conclusion. All three approaches (naive pooled regression, model-controlled ANCOVA, and the non-parametric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 test,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now itself cross-checked by exact permutation) agree on a real,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if small,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degradation trend common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 three models, with the ANCOVA giving the most statistically defensible estimate of its significance.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Comparing mitigation strategies, cumulative retraining outperforms sliding-window retraining for every model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(Random Forest: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0.9952 vs. 0.9950; XGBoost: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0.9945 vs. 0.9939; Logistic Regression: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0.9931 vs. 0.9923) (Fig-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ure 2); a size-matched control (Limitations) shows this advantage is mostly, and for logistic regression entirely, a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consequence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cumulative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training-set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size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historical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examples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being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helpful per se,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so we do not read this comparison as evidence that history itself is broadly beneficial. The paired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Wilcoxon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block-level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values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pairs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conventional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significance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regardless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true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effect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size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125–0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25),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instead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strategies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paired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boot-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underlying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predictions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(2,000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resamples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pooled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blocks):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this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confirms cumulative retraining outperforms sliding-window retraining for all three models,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with 95% confidence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intervals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excluding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zero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Forest: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00024,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95%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CI</w:t>
      </w:r>
      <w:r>
        <w:rPr>
          <w:rFonts w:ascii="CMR10" w:hAnsi="CMR10" w:eastAsia="CMR10"/>
          <w:b w:val="0"/>
          <w:i w:val="0"/>
          <w:color w:val="000000"/>
          <w:sz w:val="20"/>
        </w:rPr>
        <w:t>[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00011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00040</w:t>
      </w:r>
      <w:r>
        <w:rPr>
          <w:rFonts w:ascii="CMR10" w:hAnsi="CMR10" w:eastAsia="CMR10"/>
          <w:b w:val="0"/>
          <w:i w:val="0"/>
          <w:color w:val="000000"/>
          <w:sz w:val="20"/>
        </w:rPr>
        <w:t>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XGBoost: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00067,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95%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CI </w:t>
      </w:r>
      <w:r>
        <w:rPr>
          <w:rFonts w:ascii="CMR10" w:hAnsi="CMR10" w:eastAsia="CMR10"/>
          <w:b w:val="0"/>
          <w:i w:val="0"/>
          <w:color w:val="000000"/>
          <w:sz w:val="20"/>
        </w:rPr>
        <w:t>[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00035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00099</w:t>
      </w:r>
      <w:r>
        <w:rPr>
          <w:rFonts w:ascii="CMR10" w:hAnsi="CMR10" w:eastAsia="CMR10"/>
          <w:b w:val="0"/>
          <w:i w:val="0"/>
          <w:color w:val="000000"/>
          <w:sz w:val="20"/>
        </w:rPr>
        <w:t>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; Logistic Regression: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00080, 95% CI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00051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00109</w:t>
      </w:r>
      <w:r>
        <w:rPr>
          <w:rFonts w:ascii="CMR10" w:hAnsi="CMR10" w:eastAsia="CMR10"/>
          <w:b w:val="0"/>
          <w:i w:val="0"/>
          <w:color w:val="000000"/>
          <w:sz w:val="20"/>
        </w:rPr>
        <w:t>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; all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001). The effect is real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 small in absolute F1 terms, consistent with the modest overall degradation reported above.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1612900</wp:posOffset>
            </wp:positionH>
            <wp:positionV relativeFrom="page">
              <wp:posOffset>2832100</wp:posOffset>
            </wp:positionV>
            <wp:extent cx="1371600" cy="14859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85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4826000</wp:posOffset>
            </wp:positionH>
            <wp:positionV relativeFrom="page">
              <wp:posOffset>2717800</wp:posOffset>
            </wp:positionV>
            <wp:extent cx="1409700" cy="1790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790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t>6 "Concept Drift in URL-Based Phishing Detection: A Temporal Evaluation", Juan Pablo Aviles-Esparza, Italo Tenempaguay-Granizo, Isaac David Torres-Paredes.</w:t>
      </w:r>
    </w:p>
    <w:p>
      <w:pPr>
        <w:autoSpaceDN w:val="0"/>
        <w:autoSpaceDE w:val="0"/>
        <w:widowControl/>
        <w:spacing w:line="270" w:lineRule="exact" w:before="500" w:after="246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3. F1 by evaluation block and model (fixed-training design: trained on block 1, evaluated on blocks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 through 6, at increasing temporal distance).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8.0000000000001" w:type="dxa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>
        <w:trPr>
          <w:trHeight w:hRule="exact" w:val="366"/>
        </w:trPr>
        <w:tc>
          <w:tcPr>
            <w:tcW w:type="dxa" w:w="5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2"/>
            <w:gridSpan w:val="3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Distance</w:t>
            </w:r>
          </w:p>
        </w:tc>
        <w:tc>
          <w:tcPr>
            <w:tcW w:type="dxa" w:w="16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20"/>
            <w:gridSpan w:val="2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Random Forest</w:t>
            </w:r>
          </w:p>
        </w:tc>
        <w:tc>
          <w:tcPr>
            <w:tcW w:type="dxa" w:w="1200"/>
            <w:gridSpan w:val="3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XGBoost</w:t>
            </w:r>
          </w:p>
        </w:tc>
        <w:tc>
          <w:tcPr>
            <w:tcW w:type="dxa" w:w="1900"/>
            <w:gridSpan w:val="3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Logistic Regression</w:t>
            </w:r>
          </w:p>
        </w:tc>
        <w:tc>
          <w:tcPr>
            <w:tcW w:type="dxa" w:w="24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6"/>
        </w:trPr>
        <w:tc>
          <w:tcPr>
            <w:tcW w:type="dxa" w:w="50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8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32"/>
            <w:gridSpan w:val="3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 (block 2)</w:t>
            </w:r>
          </w:p>
        </w:tc>
        <w:tc>
          <w:tcPr>
            <w:tcW w:type="dxa" w:w="16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20"/>
            <w:gridSpan w:val="2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0.9963</w:t>
            </w:r>
          </w:p>
        </w:tc>
        <w:tc>
          <w:tcPr>
            <w:tcW w:type="dxa" w:w="1200"/>
            <w:gridSpan w:val="3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0.9961</w:t>
            </w:r>
          </w:p>
        </w:tc>
        <w:tc>
          <w:tcPr>
            <w:tcW w:type="dxa" w:w="1900"/>
            <w:gridSpan w:val="3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0.9944</w:t>
            </w:r>
          </w:p>
        </w:tc>
        <w:tc>
          <w:tcPr>
            <w:tcW w:type="dxa" w:w="24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 (block 3)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0.9954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0.9938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0.9921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3 (block 4)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0.9925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0.9921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0.9876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4 (block 5)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0.9960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0.9952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0.9908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332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5 (block 6, worst)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0.9916</w:t>
            </w:r>
          </w:p>
        </w:tc>
        <w:tc>
          <w:tcPr>
            <w:tcW w:type="dxa" w:w="1200"/>
            <w:gridSpan w:val="3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0.9902</w:t>
            </w:r>
          </w:p>
        </w:tc>
        <w:tc>
          <w:tcPr>
            <w:tcW w:type="dxa" w:w="1900"/>
            <w:gridSpan w:val="3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0.9842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428"/>
        </w:trPr>
        <w:tc>
          <w:tcPr>
            <w:tcW w:type="dxa" w:w="50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366" w:after="0"/>
              <w:ind w:left="0" w:right="1386" w:firstLine="0"/>
              <w:jc w:val="right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F1 Score</w:t>
            </w:r>
          </w:p>
        </w:tc>
        <w:tc>
          <w:tcPr>
            <w:tcW w:type="dxa" w:w="32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538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0.997</w:t>
            </w:r>
          </w:p>
        </w:tc>
        <w:tc>
          <w:tcPr>
            <w:tcW w:type="dxa" w:w="168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1</w:t>
            </w:r>
          </w:p>
        </w:tc>
        <w:tc>
          <w:tcPr>
            <w:tcW w:type="dxa" w:w="1732"/>
            <w:gridSpan w:val="3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8" w:lineRule="exact" w:before="292" w:after="0"/>
              <w:ind w:left="0" w:right="0" w:firstLine="0"/>
              <w:jc w:val="center"/>
            </w:pPr>
            <w:r>
              <w:rPr>
                <w:w w:val="96.78810967339409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Random Forest</w:t>
            </w:r>
          </w:p>
        </w:tc>
        <w:tc>
          <w:tcPr>
            <w:tcW w:type="dxa" w:w="16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5</w:t>
            </w:r>
          </w:p>
        </w:tc>
        <w:tc>
          <w:tcPr>
            <w:tcW w:type="dxa" w:w="2620"/>
            <w:gridSpan w:val="5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8" w:lineRule="exact" w:before="292" w:after="0"/>
              <w:ind w:left="0" w:right="902" w:firstLine="0"/>
              <w:jc w:val="right"/>
            </w:pPr>
            <w:r>
              <w:rPr>
                <w:w w:val="96.78810967339409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XGBoost</w:t>
            </w:r>
          </w:p>
        </w:tc>
        <w:tc>
          <w:tcPr>
            <w:tcW w:type="dxa" w:w="1900"/>
            <w:gridSpan w:val="3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8" w:lineRule="exact" w:before="292" w:after="0"/>
              <w:ind w:left="0" w:right="28" w:firstLine="0"/>
              <w:jc w:val="right"/>
            </w:pPr>
            <w:r>
              <w:rPr>
                <w:w w:val="96.78810967339409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Logistic Regression</w:t>
            </w:r>
          </w:p>
        </w:tc>
        <w:tc>
          <w:tcPr>
            <w:tcW w:type="dxa" w:w="24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0" w:firstLine="0"/>
              <w:jc w:val="lef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4</w:t>
            </w:r>
          </w:p>
        </w:tc>
        <w:tc>
          <w:tcPr>
            <w:tcW w:type="dxa" w:w="68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400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5</w:t>
            </w:r>
          </w:p>
        </w:tc>
      </w:tr>
      <w:tr>
        <w:trPr>
          <w:trHeight w:hRule="exact" w:val="314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732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2" w:lineRule="exact" w:before="2028" w:after="0"/>
              <w:ind w:left="128" w:right="0" w:firstLine="0"/>
              <w:jc w:val="left"/>
            </w:pPr>
            <w:r>
              <w:rPr>
                <w:w w:val="97.42487072944641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Sliding window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2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44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71600" cy="1485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85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338" w:after="0"/>
              <w:ind w:left="0" w:right="194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1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338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2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338" w:after="0"/>
              <w:ind w:left="0" w:right="436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3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0.996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68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0.995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0.994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0.993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0.992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0.991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1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0.990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164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4" w:lineRule="exact" w:before="2" w:after="0"/>
              <w:ind w:left="128" w:right="0" w:firstLine="0"/>
              <w:jc w:val="left"/>
            </w:pPr>
            <w:r>
              <w:rPr>
                <w:w w:val="97.42487072944641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Cumulative retraining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52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65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32" w:after="0"/>
              <w:ind w:left="0" w:right="212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2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32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3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32" w:after="0"/>
              <w:ind w:left="0" w:right="334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4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102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182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1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344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2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82" w:right="0" w:firstLine="0"/>
              <w:jc w:val="lef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4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108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5</w:t>
            </w:r>
          </w:p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04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" w:after="0"/>
              <w:ind w:left="0" w:right="0" w:firstLine="0"/>
              <w:jc w:val="center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Evaluated block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" w:after="0"/>
              <w:ind w:left="0" w:right="718" w:firstLine="0"/>
              <w:jc w:val="right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Evaluated block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" w:after="0"/>
              <w:ind w:left="0" w:right="90" w:firstLine="0"/>
              <w:jc w:val="right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Evaluated block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18" w:lineRule="exact" w:before="21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Figure 2. F1 under sliding-window vs. cumulative retraining, by model and evaluation block.</w:t>
      </w:r>
    </w:p>
    <w:p>
      <w:pPr>
        <w:autoSpaceDN w:val="0"/>
        <w:autoSpaceDE w:val="0"/>
        <w:widowControl/>
        <w:spacing w:line="288" w:lineRule="exact" w:before="450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5 DISCUSSION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Degradation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displacement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statistically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aggregate,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smaller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magnitude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field’s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framing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concept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first-order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suggest,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unglamorous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result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think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substantially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explained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rather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task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inherently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easy: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top-ranked,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long-established domains, whose lexical signature (short, clean hostnames, no IP literals, low entropy, absence of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phishing-associated keywords) is so different from phishing URLs that almost any reasonable classifier separates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two classes with ease, and that separation does not depend much on which specific phishing campaigns happen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to be in the training set. A harder, more realistic negative class, such as newly registered legitimate domains [19]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or domains with URL structures that superficially resemble phishing (long paths, subdomains, marketing redirect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chains),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very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plausibly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gap,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decision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boundary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depend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more on the specific lexical tricks currently in fashion among phishers rather than on the broad, temporally stable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distinction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established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domain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one.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Recent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large-scale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evidence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newly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registered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domains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confirms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intuition: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Agarwal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Vasek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[19]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campaigns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overwhelmingly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exploit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newly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registered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domains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yet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accumulated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simplicity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top-ranked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carry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definition,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implies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constrained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Tranco-class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underestimate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operational difficulty of the classification task.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Direct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feature-level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evidence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reading.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distributional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individual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tween the earliest and latest temporal blocks is modest (Figure 3):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url_entropy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shows a small rightward shift,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url_length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is essentially unchanged and both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num_suspicious_keywords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and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has_ip_address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remain near-constant, low-variance flags throughout the whole period. Feature importance is correspondingly sta-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ble across all six temporal blocks (Figure 4):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is_https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path_length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num_slashes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and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url_length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dominate in every block, with no block introducing a qualitatively different top feature. The model is not relying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on a fragile, campaign-specific signal that erodes over time; it is relying on a small set of structural URL properties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 stay informative because the negative class’s lexical signature stays put.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also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plausible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artifacts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constructed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(Tranco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supplies bare domains, which are structurally shorter and path-free compared to full phishing URLs), we directly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tested whether they are necessary for the near-ceiling performance by re-running the fixed-training design (block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versus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2–6)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removed,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leaving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28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result: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drops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3.3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4.1 percentage points across the three models (e.g., random forest: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0.9943 to 0.9617 on average across displaced</w:t>
      </w:r>
    </w:p>
    <w:p>
      <w:pPr>
        <w:sectPr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p>
      <w:pPr>
        <w:autoSpaceDN w:val="0"/>
        <w:autoSpaceDE w:val="0"/>
        <w:widowControl/>
        <w:spacing w:line="160" w:lineRule="exact" w:before="0" w:after="532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8.0000000000001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8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68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0.025</w:t>
            </w:r>
          </w:p>
        </w:tc>
        <w:tc>
          <w:tcPr>
            <w:tcW w:type="dxa" w:w="30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url_length</w:t>
            </w:r>
          </w:p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624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8</w:t>
            </w:r>
          </w:p>
        </w:tc>
        <w:tc>
          <w:tcPr>
            <w:tcW w:type="dxa" w:w="35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704" w:right="0" w:firstLine="0"/>
              <w:jc w:val="left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num_suspicious_keywords</w:t>
            </w:r>
          </w:p>
        </w:tc>
      </w:tr>
      <w:tr>
        <w:trPr>
          <w:trHeight w:hRule="exact" w:val="320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60"/>
            <w:gridSpan w:val="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6.00000000000023" w:type="dxa"/>
            </w:tblPr>
            <w:tblGrid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</w:tblGrid>
            <w:tr>
              <w:trPr>
                <w:trHeight w:hRule="exact" w:val="70"/>
              </w:trPr>
              <w:tc>
                <w:tcPr>
                  <w:tcW w:type="dxa" w:w="90"/>
                  <w:vMerge w:val="restart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gridSpan w:val="6"/>
                  <w:vMerge w:val="restart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vMerge w:val="restart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2"/>
                  <w:vMerge w:val="restart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2"/>
                  <w:tcBorders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vMerge w:val="restart"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2" w:lineRule="exact" w:before="0" w:after="0"/>
                    <w:ind w:left="144" w:right="0" w:firstLine="0"/>
                    <w:jc w:val="right"/>
                  </w:pP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 xml:space="preserve">Block </w:t>
                  </w: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 xml:space="preserve">Block </w:t>
                  </w:r>
                </w:p>
              </w:tc>
              <w:tc>
                <w:tcPr>
                  <w:tcW w:type="dxa" w:w="544"/>
                  <w:vMerge w:val="restart"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2" w:lineRule="exact" w:before="0" w:after="0"/>
                    <w:ind w:left="0" w:right="0" w:firstLine="0"/>
                    <w:jc w:val="center"/>
                  </w:pP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 xml:space="preserve">1 (earliest </w:t>
                  </w: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>6 (latest)</w:t>
                  </w:r>
                </w:p>
              </w:tc>
              <w:tc>
                <w:tcPr>
                  <w:tcW w:type="dxa" w:w="78"/>
                  <w:vMerge w:val="restart"/>
                  <w:tcBorders>
                    <w:start w:sz="4.129216194152832" w:val="single" w:color="#AFB0AF"/>
                    <w:end w:sz="5.161520004272461" w:val="single" w:color="#CBCCCB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0" w:lineRule="exact" w:before="0" w:after="0"/>
                    <w:ind w:left="0" w:right="0" w:firstLine="0"/>
                    <w:jc w:val="center"/>
                  </w:pP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>)</w:t>
                  </w:r>
                </w:p>
              </w:tc>
            </w:tr>
            <w:tr>
              <w:trPr>
                <w:trHeight w:hRule="exact" w:val="154"/>
              </w:trPr>
              <w:tc>
                <w:tcPr>
                  <w:tcW w:type="dxa" w:w="235"/>
                  <w:vMerge/>
                  <w:tcBorders>
                    <w:start w:sz="4.129216194152832" w:val="single" w:color="#000000"/>
                    <w:end w:sz="4.129216194152832" w:val="single" w:color="#AFB0AF"/>
                  </w:tcBorders>
                </w:tcPr>
                <w:p/>
              </w:tc>
              <w:tc>
                <w:tcPr>
                  <w:tcW w:type="dxa" w:w="1410"/>
                  <w:gridSpan w:val="6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102"/>
                  <w:tcBorders>
                    <w:start w:sz="5.161520004272461" w:val="single" w:color="#CBCCCB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5.161520004272461" w:val="single" w:color="#CBCCCB"/>
                  </w:tcBorders>
                </w:tcPr>
                <w:p/>
              </w:tc>
            </w:tr>
            <w:tr>
              <w:trPr>
                <w:trHeight w:hRule="exact" w:val="102"/>
              </w:trPr>
              <w:tc>
                <w:tcPr>
                  <w:tcW w:type="dxa" w:w="235"/>
                  <w:vMerge/>
                  <w:tcBorders>
                    <w:start w:sz="4.129216194152832" w:val="single" w:color="#000000"/>
                    <w:end w:sz="4.129216194152832" w:val="single" w:color="#AFB0AF"/>
                  </w:tcBorders>
                </w:tcPr>
                <w:p/>
              </w:tc>
              <w:tc>
                <w:tcPr>
                  <w:tcW w:type="dxa" w:w="1410"/>
                  <w:gridSpan w:val="6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102"/>
                  <w:tcBorders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5.161520004272461" w:val="single" w:color="#CBCCCB"/>
                  </w:tcBorders>
                </w:tcPr>
                <w:p/>
              </w:tc>
            </w:tr>
            <w:tr>
              <w:trPr>
                <w:trHeight w:hRule="exact" w:val="128"/>
              </w:trPr>
              <w:tc>
                <w:tcPr>
                  <w:tcW w:type="dxa" w:w="235"/>
                  <w:vMerge/>
                  <w:tcBorders>
                    <w:start w:sz="4.129216194152832" w:val="single" w:color="#000000"/>
                    <w:end w:sz="4.129216194152832" w:val="single" w:color="#AFB0AF"/>
                  </w:tcBorders>
                </w:tcPr>
                <w:p/>
              </w:tc>
              <w:tc>
                <w:tcPr>
                  <w:tcW w:type="dxa" w:w="1410"/>
                  <w:gridSpan w:val="6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5.161520004272461" w:val="single" w:color="#CBCCCB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5.161520004272461" w:val="single" w:color="#CBCCCB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38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6"/>
                  <w:gridSpan w:val="4"/>
                  <w:tcBorders>
                    <w:start w:sz="23.199999999999818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40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6"/>
                  <w:gridSpan w:val="4"/>
                  <w:tcBorders>
                    <w:start w:sz="23.199999999999818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40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6"/>
                  <w:gridSpan w:val="4"/>
                  <w:tcBorders>
                    <w:start w:sz="23.199999999999818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20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2"/>
                  <w:tcBorders>
                    <w:start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90"/>
                  <w:gridSpan w:val="2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50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0.0" w:type="dxa"/>
            </w:tblPr>
            <w:tblGrid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</w:tblGrid>
            <w:tr>
              <w:trPr>
                <w:trHeight w:hRule="exact" w:val="442"/>
              </w:trPr>
              <w:tc>
                <w:tcPr>
                  <w:tcW w:type="dxa" w:w="134"/>
                  <w:tcBorders>
                    <w:start w:sz="4.129216194152832" w:val="single" w:color="#000000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4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48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0.020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900"/>
        </w:trPr>
        <w:tc>
          <w:tcPr>
            <w:tcW w:type="dxa" w:w="680"/>
            <w:tcBorders/>
            <w:tcMar>
              <w:start w:w="0" w:type="dxa"/>
              <w:end w:w="0" w:type="dxa"/>
            </w:tcMar>
            <w:textDirection w:val="btLr"/>
          </w:tcPr>
          <w:p>
            <w:pPr>
              <w:autoSpaceDN w:val="0"/>
              <w:autoSpaceDE w:val="0"/>
              <w:widowControl/>
              <w:spacing w:line="188" w:lineRule="exact" w:before="488" w:after="0"/>
              <w:ind w:left="0" w:right="0" w:firstLine="0"/>
              <w:jc w:val="center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68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0.015</w:t>
            </w:r>
          </w:p>
          <w:p>
            <w:pPr>
              <w:autoSpaceDN w:val="0"/>
              <w:autoSpaceDE w:val="0"/>
              <w:widowControl/>
              <w:spacing w:line="168" w:lineRule="exact" w:before="27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0.010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348"/>
            <w:gridSpan w:val="2"/>
            <w:tcBorders/>
            <w:shd w:fill="ffffff"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40" w:after="0"/>
              <w:ind w:left="0" w:right="0" w:firstLine="0"/>
              <w:jc w:val="center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13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06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6</w:t>
            </w:r>
          </w:p>
          <w:p>
            <w:pPr>
              <w:autoSpaceDN w:val="0"/>
              <w:autoSpaceDE w:val="0"/>
              <w:widowControl/>
              <w:spacing w:line="168" w:lineRule="exact" w:before="29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3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0.005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2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86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0.000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8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18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</w:t>
            </w:r>
          </w:p>
        </w:tc>
        <w:tc>
          <w:tcPr>
            <w:tcW w:type="dxa" w:w="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78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200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1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400</w:t>
            </w:r>
          </w:p>
        </w:tc>
        <w:tc>
          <w:tcPr>
            <w:tcW w:type="dxa" w:w="69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16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600</w:t>
            </w:r>
          </w:p>
        </w:tc>
        <w:tc>
          <w:tcPr>
            <w:tcW w:type="dxa" w:w="54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800</w:t>
            </w:r>
          </w:p>
        </w:tc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1000</w:t>
            </w: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0.5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104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1.0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52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1.5</w:t>
            </w:r>
          </w:p>
        </w:tc>
        <w:tc>
          <w:tcPr>
            <w:tcW w:type="dxa" w:w="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2.0</w:t>
            </w:r>
          </w:p>
        </w:tc>
        <w:tc>
          <w:tcPr>
            <w:tcW w:type="dxa" w:w="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2.5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15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3.0</w:t>
            </w:r>
          </w:p>
        </w:tc>
      </w:tr>
      <w:tr>
        <w:trPr>
          <w:trHeight w:hRule="exact" w:val="50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60"/>
            <w:gridSpan w:val="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0" w:firstLine="0"/>
              <w:jc w:val="center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url_entropy</w:t>
            </w: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50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1506" w:firstLine="0"/>
              <w:jc w:val="right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has_ip_address</w:t>
            </w:r>
          </w:p>
        </w:tc>
      </w:tr>
      <w:tr>
        <w:trPr>
          <w:trHeight w:hRule="exact" w:val="54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9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5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1.6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60"/>
            <w:gridSpan w:val="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6.00000000000023" w:type="dxa"/>
            </w:tblPr>
            <w:tblGrid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</w:tblGrid>
            <w:tr>
              <w:trPr>
                <w:trHeight w:hRule="exact" w:val="222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5"/>
                  <w:tcBorders>
                    <w:start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start w:sz="4.129216194152832" w:val="single" w:color="#AFB0AF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start w:sz="33.59999999999991" w:val="single" w:color="#5FA8D3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84"/>
                  <w:gridSpan w:val="3"/>
                  <w:tcBorders>
                    <w:start w:sz="33.59999999999991" w:val="single" w:color="#5FA8D3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60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start w:sz="4.129216194152832" w:val="single" w:color="#AFB0AF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start w:sz="33.59999999999991" w:val="single" w:color="#5FA8D3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84"/>
                  <w:gridSpan w:val="3"/>
                  <w:tcBorders>
                    <w:start w:sz="33.59999999999991" w:val="single" w:color="#5FA8D3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start w:sz="33.59999999999991" w:val="single" w:color="#5FA8D3"/>
                    <w:end w:sz="33.600000000000136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98"/>
                  <w:gridSpan w:val="2"/>
                  <w:tcBorders>
                    <w:start w:sz="33.600000000000136" w:val="single" w:color="#5FA8D3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gridSpan w:val="4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end w:sz="33.600000000000136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>
                    <w:start w:sz="33.600000000000136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60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33.59999999999991" w:val="single" w:color="#5FA8D3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>
                    <w:start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end w:sz="36.0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0"/>
                  <w:gridSpan w:val="6"/>
                  <w:tcBorders>
                    <w:start w:sz="36.0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8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gridSpan w:val="4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end w:sz="36.0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0"/>
                  <w:gridSpan w:val="6"/>
                  <w:tcBorders>
                    <w:start w:sz="36.0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66"/>
                  <w:gridSpan w:val="3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0"/>
                  <w:gridSpan w:val="6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38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"/>
                  <w:tcBorders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"/>
                  <w:tcBorders>
                    <w:start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04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50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0.0" w:type="dxa"/>
            </w:tblPr>
            <w:tblGrid>
              <w:gridCol w:w="437"/>
              <w:gridCol w:w="437"/>
              <w:gridCol w:w="437"/>
              <w:gridCol w:w="437"/>
              <w:gridCol w:w="437"/>
              <w:gridCol w:w="437"/>
              <w:gridCol w:w="437"/>
              <w:gridCol w:w="437"/>
            </w:tblGrid>
            <w:tr>
              <w:trPr>
                <w:trHeight w:hRule="exact" w:val="3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4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2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2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42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2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5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1.4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48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25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1.2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300"/>
            <w:vMerge w:val="restart"/>
            <w:tcBorders/>
            <w:shd w:fill="ffffff"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66" w:after="0"/>
              <w:ind w:left="8" w:right="0" w:firstLine="0"/>
              <w:jc w:val="left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18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20 </w:t>
            </w: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15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560"/>
        </w:trPr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636" w:after="0"/>
              <w:ind w:left="0" w:right="0" w:firstLine="0"/>
              <w:jc w:val="center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2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1.0 </w:t>
            </w: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0.8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34"/>
            <w:vMerge/>
            <w:tcBorders/>
          </w:tcPr>
          <w:p/>
        </w:tc>
        <w:tc>
          <w:tcPr>
            <w:tcW w:type="dxa" w:w="868"/>
            <w:gridSpan w:val="2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4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0.6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4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2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0.4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7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5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6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58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58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3.0</w:t>
            </w:r>
          </w:p>
        </w:tc>
        <w:tc>
          <w:tcPr>
            <w:tcW w:type="dxa" w:w="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3.5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78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4.0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48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4.5</w:t>
            </w:r>
          </w:p>
        </w:tc>
        <w:tc>
          <w:tcPr>
            <w:tcW w:type="dxa" w:w="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5.0</w:t>
            </w:r>
          </w:p>
        </w:tc>
        <w:tc>
          <w:tcPr>
            <w:tcW w:type="dxa" w:w="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5.5</w:t>
            </w:r>
          </w:p>
        </w:tc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6.0</w:t>
            </w: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68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3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0.4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0.6</w:t>
            </w:r>
          </w:p>
        </w:tc>
        <w:tc>
          <w:tcPr>
            <w:tcW w:type="dxa" w:w="7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20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0.8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15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1.0</w:t>
            </w:r>
          </w:p>
        </w:tc>
      </w:tr>
    </w:tbl>
    <w:p>
      <w:pPr>
        <w:autoSpaceDN w:val="0"/>
        <w:autoSpaceDE w:val="0"/>
        <w:widowControl/>
        <w:spacing w:line="270" w:lineRule="exact" w:before="19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Figure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Distribution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key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among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URLs,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earliest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vs.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latest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temporal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block.</w:t>
      </w:r>
    </w:p>
    <w:p>
      <w:pPr>
        <w:autoSpaceDN w:val="0"/>
        <w:autoSpaceDE w:val="0"/>
        <w:widowControl/>
        <w:spacing w:line="240" w:lineRule="exact" w:before="4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blocks), confirming that these four features carry real, non-trivial separating power and that part of the near-ceiling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result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reflects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URL-construction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phishing-specific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alone.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At the same time, F1 with those four features removed remains at 0.95–0.96, far above chance and only modestly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below the full-feature result, so the remaining 28 lexical features carry substantial phishing-discriminating signal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 their own. We read this as a partial, not a full, explanation of the near-ceiling result: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four structural features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inflate the reported ceiling by a few points, but they are not the sole reason detection is easy.</w:t>
      </w:r>
    </w:p>
    <w:p>
      <w:pPr>
        <w:autoSpaceDN w:val="0"/>
        <w:autoSpaceDE w:val="0"/>
        <w:widowControl/>
        <w:spacing w:line="272" w:lineRule="exact" w:before="218" w:after="228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(fixed-training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design,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averaged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displaced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2–6)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without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associated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legitimate-URL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construction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is_https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path_length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num_slashes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url_length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70.0" w:type="dxa"/>
      </w:tblPr>
      <w:tblGrid>
        <w:gridCol w:w="2277"/>
        <w:gridCol w:w="2277"/>
        <w:gridCol w:w="2277"/>
        <w:gridCol w:w="2277"/>
      </w:tblGrid>
      <w:tr>
        <w:trPr>
          <w:trHeight w:hRule="exact" w:val="384"/>
        </w:trPr>
        <w:tc>
          <w:tcPr>
            <w:tcW w:type="dxa" w:w="197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Model</w:t>
            </w:r>
          </w:p>
        </w:tc>
        <w:tc>
          <w:tcPr>
            <w:tcW w:type="dxa" w:w="15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F1, 32 features</w:t>
            </w:r>
          </w:p>
        </w:tc>
        <w:tc>
          <w:tcPr>
            <w:tcW w:type="dxa" w:w="23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F1, 28 features (ablated)</w:t>
            </w:r>
          </w:p>
        </w:tc>
        <w:tc>
          <w:tcPr>
            <w:tcW w:type="dxa" w:w="86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Drop</w:t>
            </w:r>
          </w:p>
        </w:tc>
      </w:tr>
      <w:tr>
        <w:trPr>
          <w:trHeight w:hRule="exact" w:val="330"/>
        </w:trPr>
        <w:tc>
          <w:tcPr>
            <w:tcW w:type="dxa" w:w="197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Random Forest</w:t>
            </w:r>
          </w:p>
        </w:tc>
        <w:tc>
          <w:tcPr>
            <w:tcW w:type="dxa" w:w="15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0.9943</w:t>
            </w:r>
          </w:p>
        </w:tc>
        <w:tc>
          <w:tcPr>
            <w:tcW w:type="dxa" w:w="23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0.9617</w:t>
            </w:r>
          </w:p>
        </w:tc>
        <w:tc>
          <w:tcPr>
            <w:tcW w:type="dxa" w:w="86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0.0326</w:t>
            </w:r>
          </w:p>
        </w:tc>
      </w:tr>
      <w:tr>
        <w:trPr>
          <w:trHeight w:hRule="exact" w:val="260"/>
        </w:trPr>
        <w:tc>
          <w:tcPr>
            <w:tcW w:type="dxa" w:w="19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XGBoost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0.9935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0.9601</w:t>
            </w:r>
          </w:p>
        </w:tc>
        <w:tc>
          <w:tcPr>
            <w:tcW w:type="dxa" w:w="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0.0334</w:t>
            </w:r>
          </w:p>
        </w:tc>
      </w:tr>
      <w:tr>
        <w:trPr>
          <w:trHeight w:hRule="exact" w:val="336"/>
        </w:trPr>
        <w:tc>
          <w:tcPr>
            <w:tcW w:type="dxa" w:w="197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Logistic Regression</w:t>
            </w:r>
          </w:p>
        </w:tc>
        <w:tc>
          <w:tcPr>
            <w:tcW w:type="dxa" w:w="154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0.9899</w:t>
            </w:r>
          </w:p>
        </w:tc>
        <w:tc>
          <w:tcPr>
            <w:tcW w:type="dxa" w:w="23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0.9490</w:t>
            </w:r>
          </w:p>
        </w:tc>
        <w:tc>
          <w:tcPr>
            <w:tcW w:type="dxa" w:w="86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0.0409</w:t>
            </w:r>
          </w:p>
        </w:tc>
      </w:tr>
    </w:tbl>
    <w:p>
      <w:pPr>
        <w:autoSpaceDN w:val="0"/>
        <w:autoSpaceDE w:val="0"/>
        <w:widowControl/>
        <w:spacing w:line="238" w:lineRule="exact" w:before="25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risk,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detectors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today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fail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outright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next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month.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near-perfect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performance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(or,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designs against an easy negative class) is a poor guide to performance against near-miss legitimate traffic,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which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is the regime that actually matters operationally. We would expect the degradation trend that is significant here in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aggregate to become the dominant effect, not a marginal one, once the negative class is made realistically hard.</w:t>
      </w:r>
    </w:p>
    <w:p>
      <w:pPr>
        <w:autoSpaceDN w:val="0"/>
        <w:autoSpaceDE w:val="0"/>
        <w:widowControl/>
        <w:spacing w:line="286" w:lineRule="exact" w:before="572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6 LIMITATIONS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purely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content,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WHOIS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network/hosting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balance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separability.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PhishTank’s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carry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known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reporting-time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bias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(submission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necessarily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attack-launch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popular/obvious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cam-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paigns are reported faster than sophisticated ones). The 180-day window, while the longest span with consistently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high weekly volume in the feed we used, is short relative to multi-year drift dynamics reported elsewhere in the lit-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p>
      <w:pPr>
        <w:autoSpaceDN w:val="0"/>
        <w:autoSpaceDE w:val="0"/>
        <w:widowControl/>
        <w:spacing w:line="160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p>
      <w:pPr>
        <w:autoSpaceDN w:val="0"/>
        <w:autoSpaceDE w:val="0"/>
        <w:widowControl/>
        <w:spacing w:line="240" w:lineRule="exact" w:before="5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regardless of when the phishing examples were collected, alongside the fact that assigning synthetic timestamps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legitimate URLs makes half of each evaluation block i.i.d. by construction, halving the observable degradation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effect before any evaluation even begins. We recommend that future phishing-detection evaluations pair 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splitting with a harder negative class before concluding that concept drift is a marginal concern for this task.</w:t>
      </w:r>
    </w:p>
    <w:p>
      <w:pPr>
        <w:autoSpaceDN w:val="0"/>
        <w:autoSpaceDE w:val="0"/>
        <w:widowControl/>
        <w:spacing w:line="288" w:lineRule="exact" w:before="568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DATA AVAILABILITY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phishing dataset (PhishTank IDs and timestamps), the legitimate-domain sample, extracted features, 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analysis code will be published in a public repository with a Zenodo DOI upon submission (see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README.md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for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current repository location).</w:t>
      </w:r>
    </w:p>
    <w:p>
      <w:pPr>
        <w:autoSpaceDN w:val="0"/>
        <w:autoSpaceDE w:val="0"/>
        <w:widowControl/>
        <w:spacing w:line="286" w:lineRule="exact" w:before="570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REFERENCES</w:t>
      </w:r>
    </w:p>
    <w:p>
      <w:pPr>
        <w:autoSpaceDN w:val="0"/>
        <w:autoSpaceDE w:val="0"/>
        <w:widowControl/>
        <w:spacing w:line="240" w:lineRule="exact" w:before="220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J. Gama, I. Žliobait˙e, A. Bifet, M. Pechenizkiy, and A. Bouchachia, “A survey on concept drift adaptation,”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ACM Computing Surveys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46, no. 4, pp. 44:1–44:37, 2014.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3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3" w:history="1">
          <w:r>
            <w:rPr>
              <w:rStyle w:val="Hyperlink"/>
            </w:rPr>
            <w:t>10.1145/2523813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[2]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A. Odeh, I. Keshta, and E. Abdelfattah, “PhiBoost – a novel phishing detection model using adaptive boosting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approach,”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Jordanian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Journal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Computers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Information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Technology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(JJCIT)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7,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64–73,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2021.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4" w:history="1">
          <w:r>
            <w:rPr>
              <w:rStyle w:val="Hyperlink"/>
            </w:rPr>
            <w:t>https://doi.org/10.5455/jjcit.71-1600061738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[3]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O. K. Sahingoz, E. Buber, O. Demir, and B. Diri, “Machine learning based phishing detection from URLs,”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Expert Systems with Applications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117, pp. 345–357, 2019.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5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5" w:history="1">
          <w:r>
            <w:rPr>
              <w:rStyle w:val="Hyperlink"/>
            </w:rPr>
            <w:t>10.1016/j.eswa.2018.09.029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[4]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Y. Alslman, A. Khalil, R. Younisse, E. Alnagi, J. Al-Saraireh, and R. Ghnemat, “DDoS attack-detection ap-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proach based on ensemble models using spark,”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Jordanian Journal of Computers and Information Technology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(JJCIT)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10, no. 2, pp. 123–137, 2024. 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6" w:history="1">
          <w:r>
            <w:rPr>
              <w:rStyle w:val="Hyperlink"/>
            </w:rPr>
            <w:t xml:space="preserve">https://doi.org/10.5455/jjcit.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6" w:history="1">
          <w:r>
            <w:rPr>
              <w:rStyle w:val="Hyperlink"/>
            </w:rPr>
            <w:t>71-1694806966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[5]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Z. Ashi, L. Aburashed, M. Al-Qudah, and A. Qusef, “Network intrusion detection systems using supervised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machine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learning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dimensionality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reduction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techniques: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systematic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review,”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Jordanian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Journal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Computers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Information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Technology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(JJCIT)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7,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301–326,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2021.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7" w:history="1">
          <w:r>
            <w:rPr>
              <w:rStyle w:val="Hyperlink"/>
            </w:rPr>
            <w:t>https://doi.org/10.5455/jjcit.71-1629527707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[6]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Pendlebury,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Pierazzi,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Jordaney,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Kinder,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Cavallaro,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“TESSERACT: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Eliminating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experi-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mental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bias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malware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space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Proceedings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28th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USENIX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Secu-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rity Symposium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pp. 729–746, 2019.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8" w:history="1">
          <w:r>
            <w:rPr>
              <w:rStyle w:val="Hyperlink"/>
            </w:rPr>
            <w:t xml:space="preserve">https://www.usenix.org/conference/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8" w:history="1">
          <w:r>
            <w:rPr>
              <w:rStyle w:val="Hyperlink"/>
            </w:rPr>
            <w:t>usenixsecurity19/presentation/pendlebury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[7]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 Jemili, K. Jouini, and O. Korbaa, “Intrusion detection based on concept drift detection and online incremen-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tal learning,”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International Journal of Pervasive Computing and Communications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vol. 21, no. 1, pp. 81–115,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9" w:history="1">
          <w:r>
            <w:rPr>
              <w:rStyle w:val="Hyperlink"/>
            </w:rPr>
            <w:t>https://doi.org/10.1108/ijpcc-12-2023-0358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[8]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G. Apruzzese,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H. S. Anderson,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S. Dambra,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D. Freeman, F. Pierazzi,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 K. Roundy,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““Real attackers don’t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compute gradients”: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Bridging the gap between adversarial ML research and practice,” 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Proceedings of the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2023 IEEE Conference on Secure and Trustworthy Machine Learning (SaTML)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pp. 339–364, 2023. 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0" w:history="1">
          <w:r>
            <w:rPr>
              <w:rStyle w:val="Hyperlink"/>
            </w:rPr>
            <w:t>https://doi.org/10.1109/SaTML54575.2023.00031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[9]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A. L. Buczak and E. Guven, “A survey of data mining and machine learning methods for cyber security intru-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sion detection,”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IEEE Communications Surveys &amp; Tutorials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18, no. 2, pp. 1153–1176, 2016.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1" w:history="1">
          <w:r>
            <w:rPr>
              <w:rStyle w:val="Hyperlink"/>
            </w:rPr>
            <w:t>https://doi.org/10.1109/COMST.2015.2494502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[10]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Varshney,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Misra,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Atrey,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survey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schemes,”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Security and Communication Networks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9, no. 18, pp. 6266–6284, 2016.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 xml:space="preserve">https: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>//doi.org/10.1002/sec.1674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[11]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R. M. Mohammad, F. Thabtah, and L. McCluskey, “Intelligent rule-based phishing websites classification,”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IET Information 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8, no. 3, pp. 153–160, 2014.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 xml:space="preserve">https://doi.org/10.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>1049/iet-ifs.2013.0202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t>10 "Concept Drift in URL-Based Phishing Detection: A Temporal Evaluation", Juan Pablo Aviles-Esparza, Italo Tenempaguay-Granizo, Isaac David Torres-Paredes.</w:t>
      </w:r>
    </w:p>
    <w:p>
      <w:pPr>
        <w:autoSpaceDN w:val="0"/>
        <w:autoSpaceDE w:val="0"/>
        <w:widowControl/>
        <w:spacing w:line="238" w:lineRule="exact" w:before="556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[12]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Mohammad,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Thabtah,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McCluskey,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“Predicting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self-structuring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neural network,”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Neural Computing and Applications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25, no. 2, pp. 443–458, 2014.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Available: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>https://doi.org/10.1007/s00521-013-1490-z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[13]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P. Singh and Meenu,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“Phishing website detection based on machine learning: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 survey,”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2020 6th Inter-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national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Conference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Advanced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Computing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Communication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Systems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(ICACCS)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398–404,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2020.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5" w:history="1">
          <w:r>
            <w:rPr>
              <w:rStyle w:val="Hyperlink"/>
            </w:rPr>
            <w:t>https://doi.org/10.1109/icaccs48705.2020.9074400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[14]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M. Somesha, A. R. Pais, R. S. Rao, and V. S. Rathour, “Efficient deep learning techniques for the detection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websites,”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S¯adhan¯a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45,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165,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2020.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6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6" w:history="1">
          <w:r>
            <w:rPr>
              <w:rStyle w:val="Hyperlink"/>
            </w:rPr>
            <w:t>10.1007/s12046-020-01392-4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[15]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A. Hannousse and S. Yahiouche, “Towards benchmark datasets for machine learning based website phishing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 experimental study,”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Engineering Applications of Artificial Intelligence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 104,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p. 104347,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2021.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7" w:history="1">
          <w:r>
            <w:rPr>
              <w:rStyle w:val="Hyperlink"/>
            </w:rPr>
            <w:t>https://doi.org/10.1016/j.engappai.2021.104347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[16]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Pochat,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Goethem,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Tajalizadehkhoob,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Korczy´nski,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Joosen,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“Tranco: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research-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oriented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hardened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against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manipulation,”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Proceedings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Network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Distributed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System Security Symposium (NDSS)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2019. 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8" w:history="1">
          <w:r>
            <w:rPr>
              <w:rStyle w:val="Hyperlink"/>
            </w:rPr>
            <w:t xml:space="preserve">https://doi.org/10.14722/ndss.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8" w:history="1">
          <w:r>
            <w:rPr>
              <w:rStyle w:val="Hyperlink"/>
            </w:rPr>
            <w:t>2019.23386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440" w:val="left"/>
          <w:tab w:pos="7466" w:val="left"/>
        </w:tabs>
        <w:autoSpaceDE w:val="0"/>
        <w:widowControl/>
        <w:spacing w:line="240" w:lineRule="exact" w:before="17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[17]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Breiman,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Machine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Learning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45,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5–32,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2001.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Available: </w:t>
      </w:r>
      <w:r>
        <w:tab/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9" w:history="1">
          <w:r>
            <w:rPr>
              <w:rStyle w:val="Hyperlink"/>
            </w:rPr>
            <w:t>https://doi.org/10.1023/A:1010933404324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[18]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Guestrin,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“XGBoost: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scalable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boosting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system,”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Proceedings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22nd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ACM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SIGKDD International Conference on Knowledge Discovery and Data Mining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pp. 785–794, 2016.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30" w:history="1">
          <w:r>
            <w:rPr>
              <w:rStyle w:val="Hyperlink"/>
            </w:rPr>
            <w:t>https://doi.org/10.1145/2939672.2939785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440" w:val="left"/>
        </w:tabs>
        <w:autoSpaceDE w:val="0"/>
        <w:widowControl/>
        <w:spacing w:line="240" w:lineRule="exact" w:before="17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[19]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S. Agarwal and M. Vasek, “Examining newly registered phishing domains at scale,”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Journal of Cybersecurity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 12, no. 1, 2026.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31" w:history="1">
          <w:r>
            <w:rPr>
              <w:rStyle w:val="Hyperlink"/>
            </w:rPr>
            <w:t>https://doi.org/10.1093/cybsec/tyag020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sectPr w:rsidR="00FC693F" w:rsidRPr="0006063C" w:rsidSect="00034616">
      <w:pgSz w:w="11909" w:h="16834"/>
      <w:pgMar w:top="332" w:right="1390" w:bottom="1440" w:left="141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doi.org/10.1145/2523813" TargetMode="External"/><Relationship Id="rId14" Type="http://schemas.openxmlformats.org/officeDocument/2006/relationships/hyperlink" Target="https://doi.org/10.5455/jjcit.71-1600061738" TargetMode="External"/><Relationship Id="rId15" Type="http://schemas.openxmlformats.org/officeDocument/2006/relationships/hyperlink" Target="https://doi.org/10.1016/j.eswa.2018.09.029" TargetMode="External"/><Relationship Id="rId16" Type="http://schemas.openxmlformats.org/officeDocument/2006/relationships/hyperlink" Target="https://doi.org/10.5455/jjcit.71-1694806966" TargetMode="External"/><Relationship Id="rId17" Type="http://schemas.openxmlformats.org/officeDocument/2006/relationships/hyperlink" Target="https://doi.org/10.5455/jjcit.71-1629527707" TargetMode="External"/><Relationship Id="rId18" Type="http://schemas.openxmlformats.org/officeDocument/2006/relationships/hyperlink" Target="https://www.usenix.org/conference/usenixsecurity19/presentation/pendlebury" TargetMode="External"/><Relationship Id="rId19" Type="http://schemas.openxmlformats.org/officeDocument/2006/relationships/hyperlink" Target="https://doi.org/10.1108/ijpcc-12-2023-0358" TargetMode="External"/><Relationship Id="rId20" Type="http://schemas.openxmlformats.org/officeDocument/2006/relationships/hyperlink" Target="https://doi.org/10.1109/SaTML54575.2023.00031" TargetMode="External"/><Relationship Id="rId21" Type="http://schemas.openxmlformats.org/officeDocument/2006/relationships/hyperlink" Target="https://doi.org/10.1109/COMST.2015.2494502" TargetMode="External"/><Relationship Id="rId22" Type="http://schemas.openxmlformats.org/officeDocument/2006/relationships/hyperlink" Target="https://doi.org/10.1002/sec.1674" TargetMode="External"/><Relationship Id="rId23" Type="http://schemas.openxmlformats.org/officeDocument/2006/relationships/hyperlink" Target="https://doi.org/10.1049/iet-ifs.2013.0202" TargetMode="External"/><Relationship Id="rId24" Type="http://schemas.openxmlformats.org/officeDocument/2006/relationships/hyperlink" Target="https://doi.org/10.1007/s00521-013-1490-z" TargetMode="External"/><Relationship Id="rId25" Type="http://schemas.openxmlformats.org/officeDocument/2006/relationships/hyperlink" Target="https://doi.org/10.1109/icaccs48705.2020.9074400" TargetMode="External"/><Relationship Id="rId26" Type="http://schemas.openxmlformats.org/officeDocument/2006/relationships/hyperlink" Target="https://doi.org/10.1007/s12046-020-01392-4" TargetMode="External"/><Relationship Id="rId27" Type="http://schemas.openxmlformats.org/officeDocument/2006/relationships/hyperlink" Target="https://doi.org/10.1016/j.engappai.2021.104347" TargetMode="External"/><Relationship Id="rId28" Type="http://schemas.openxmlformats.org/officeDocument/2006/relationships/hyperlink" Target="https://doi.org/10.14722/ndss.2019.23386" TargetMode="External"/><Relationship Id="rId29" Type="http://schemas.openxmlformats.org/officeDocument/2006/relationships/hyperlink" Target="https://doi.org/10.1023/A:1010933404324" TargetMode="External"/><Relationship Id="rId30" Type="http://schemas.openxmlformats.org/officeDocument/2006/relationships/hyperlink" Target="https://doi.org/10.1145/2939672.2939785" TargetMode="External"/><Relationship Id="rId31" Type="http://schemas.openxmlformats.org/officeDocument/2006/relationships/hyperlink" Target="https://doi.org/10.1093/cybsec/tyag0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