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C994" w14:textId="77777777" w:rsidR="004C4465" w:rsidRDefault="00000000">
      <w:pPr>
        <w:spacing w:after="40"/>
      </w:pPr>
      <w:proofErr w:type="spellStart"/>
      <w:r>
        <w:rPr>
          <w:b/>
          <w:bCs/>
          <w:color w:val="1F3A5F"/>
          <w:sz w:val="36"/>
          <w:szCs w:val="36"/>
        </w:rPr>
        <w:t>PrestaMatch</w:t>
      </w:r>
      <w:proofErr w:type="spellEnd"/>
      <w:r>
        <w:rPr>
          <w:b/>
          <w:bCs/>
          <w:color w:val="1F3A5F"/>
          <w:sz w:val="36"/>
          <w:szCs w:val="36"/>
        </w:rPr>
        <w:t xml:space="preserve"> – Informe final</w:t>
      </w:r>
    </w:p>
    <w:p w14:paraId="013BFE39" w14:textId="77777777" w:rsidR="004C4465" w:rsidRDefault="00000000">
      <w:pPr>
        <w:spacing w:after="80"/>
      </w:pPr>
      <w:r>
        <w:rPr>
          <w:color w:val="5A6270"/>
          <w:sz w:val="21"/>
          <w:szCs w:val="21"/>
        </w:rPr>
        <w:t>Selección de cartera de préstamos P2P con un presupuesto de USD 2.000.000</w:t>
      </w:r>
    </w:p>
    <w:p w14:paraId="759480CF" w14:textId="77777777" w:rsidR="004C4465" w:rsidRDefault="00000000">
      <w:pPr>
        <w:keepNext/>
        <w:pBdr>
          <w:bottom w:val="single" w:sz="6" w:space="2" w:color="1F3A5F"/>
        </w:pBdr>
        <w:spacing w:before="140" w:after="60"/>
      </w:pPr>
      <w:r>
        <w:rPr>
          <w:b/>
          <w:bCs/>
          <w:color w:val="1F3A5F"/>
          <w:sz w:val="24"/>
          <w:szCs w:val="24"/>
        </w:rPr>
        <w:t>1. Cómo modelamos el problema</w:t>
      </w:r>
    </w:p>
    <w:p w14:paraId="5D1E7691" w14:textId="77777777" w:rsidR="004C4465" w:rsidRDefault="00000000">
      <w:pPr>
        <w:spacing w:after="80" w:line="252" w:lineRule="auto"/>
        <w:jc w:val="both"/>
      </w:pPr>
      <w:r>
        <w:rPr>
          <w:sz w:val="19"/>
          <w:szCs w:val="19"/>
        </w:rPr>
        <w:t>La plataforma recibe solicitudes de préstamo y solo puede financiar un subconjunto con USD 2.000.000. Cada préstamo, si se paga, rinde monto × tasa; si cae en default, se pierde el monto. Por eso el objetivo es la ganancia de la cartera y no la exactitud de una clasificación. Lo dividimos en dos partes: (1) un clasificador que estima la probabilidad de pago p de cada solicitud (</w:t>
      </w:r>
      <w:proofErr w:type="spellStart"/>
      <w:r>
        <w:rPr>
          <w:sz w:val="19"/>
          <w:szCs w:val="19"/>
        </w:rPr>
        <w:t>Estado_Final</w:t>
      </w:r>
      <w:proofErr w:type="spellEnd"/>
      <w:r>
        <w:rPr>
          <w:sz w:val="19"/>
          <w:szCs w:val="19"/>
        </w:rPr>
        <w:t>: 1 = pagó, 0 = default) y (2) una decisión de cartera que, con esas probabilidades, elige qué aprobar sin exceder el presupuesto. La ganancia esperada de cada solicitud es monto × [p × (1 + tasa) − 1].</w:t>
      </w:r>
    </w:p>
    <w:p w14:paraId="74B7774F" w14:textId="77777777" w:rsidR="004C4465" w:rsidRDefault="00000000">
      <w:pPr>
        <w:keepNext/>
        <w:pBdr>
          <w:bottom w:val="single" w:sz="6" w:space="2" w:color="1F3A5F"/>
        </w:pBdr>
        <w:spacing w:before="140" w:after="60"/>
      </w:pPr>
      <w:r>
        <w:rPr>
          <w:b/>
          <w:bCs/>
          <w:color w:val="1F3A5F"/>
          <w:sz w:val="24"/>
          <w:szCs w:val="24"/>
        </w:rPr>
        <w:t>2. Datos y decisiones sobre las entradas</w:t>
      </w:r>
    </w:p>
    <w:p w14:paraId="3D68FB59" w14:textId="77777777" w:rsidR="004C4465" w:rsidRDefault="00000000">
      <w:pPr>
        <w:pStyle w:val="Prrafodelista"/>
        <w:numPr>
          <w:ilvl w:val="0"/>
          <w:numId w:val="2"/>
        </w:numPr>
        <w:spacing w:after="40" w:line="252" w:lineRule="auto"/>
      </w:pPr>
      <w:r>
        <w:rPr>
          <w:b/>
          <w:bCs/>
          <w:sz w:val="19"/>
          <w:szCs w:val="19"/>
        </w:rPr>
        <w:t xml:space="preserve">Cruce con el banco. </w:t>
      </w:r>
      <w:r>
        <w:rPr>
          <w:sz w:val="19"/>
          <w:szCs w:val="19"/>
        </w:rPr>
        <w:t xml:space="preserve">Se unieron las solicitudes con comportamiento_bancario.csv por </w:t>
      </w:r>
      <w:proofErr w:type="spellStart"/>
      <w:r>
        <w:rPr>
          <w:sz w:val="19"/>
          <w:szCs w:val="19"/>
        </w:rPr>
        <w:t>ID_Usuario</w:t>
      </w:r>
      <w:proofErr w:type="spellEnd"/>
      <w:r>
        <w:rPr>
          <w:sz w:val="19"/>
          <w:szCs w:val="19"/>
        </w:rPr>
        <w:t>, y de cada usuario solo se usaron los 12 meses anteriores a la solicitud, para que ninguna variable contenga información posterior a la decisión (sin fuga temporal).</w:t>
      </w:r>
    </w:p>
    <w:p w14:paraId="7F7F63AA" w14:textId="77777777" w:rsidR="004C4465" w:rsidRDefault="00000000">
      <w:pPr>
        <w:pStyle w:val="Prrafodelista"/>
        <w:numPr>
          <w:ilvl w:val="0"/>
          <w:numId w:val="2"/>
        </w:numPr>
        <w:spacing w:after="40" w:line="252" w:lineRule="auto"/>
      </w:pPr>
      <w:r>
        <w:rPr>
          <w:b/>
          <w:bCs/>
          <w:sz w:val="19"/>
          <w:szCs w:val="19"/>
        </w:rPr>
        <w:t xml:space="preserve">Variables. </w:t>
      </w:r>
      <w:r>
        <w:rPr>
          <w:sz w:val="19"/>
          <w:szCs w:val="19"/>
        </w:rPr>
        <w:t xml:space="preserve">Se resumió el historial en </w:t>
      </w:r>
      <w:proofErr w:type="spellStart"/>
      <w:r>
        <w:rPr>
          <w:sz w:val="19"/>
          <w:szCs w:val="19"/>
        </w:rPr>
        <w:t>n_meses_hist</w:t>
      </w:r>
      <w:proofErr w:type="spellEnd"/>
      <w:r>
        <w:rPr>
          <w:sz w:val="19"/>
          <w:szCs w:val="19"/>
        </w:rPr>
        <w:t xml:space="preserve">, </w:t>
      </w:r>
      <w:proofErr w:type="spellStart"/>
      <w:r>
        <w:rPr>
          <w:sz w:val="19"/>
          <w:szCs w:val="19"/>
        </w:rPr>
        <w:t>saldo_medio</w:t>
      </w:r>
      <w:proofErr w:type="spellEnd"/>
      <w:r>
        <w:rPr>
          <w:sz w:val="19"/>
          <w:szCs w:val="19"/>
        </w:rPr>
        <w:t xml:space="preserve"> y </w:t>
      </w:r>
      <w:proofErr w:type="spellStart"/>
      <w:r>
        <w:rPr>
          <w:sz w:val="19"/>
          <w:szCs w:val="19"/>
        </w:rPr>
        <w:t>atraso_medio</w:t>
      </w:r>
      <w:proofErr w:type="spellEnd"/>
      <w:r>
        <w:rPr>
          <w:sz w:val="19"/>
          <w:szCs w:val="19"/>
        </w:rPr>
        <w:t xml:space="preserve">, y se derivaron </w:t>
      </w:r>
      <w:proofErr w:type="spellStart"/>
      <w:r>
        <w:rPr>
          <w:sz w:val="19"/>
          <w:szCs w:val="19"/>
        </w:rPr>
        <w:t>monto_sobre_ingreso</w:t>
      </w:r>
      <w:proofErr w:type="spellEnd"/>
      <w:r>
        <w:rPr>
          <w:sz w:val="19"/>
          <w:szCs w:val="19"/>
        </w:rPr>
        <w:t xml:space="preserve"> (cuántos sueldos pide), </w:t>
      </w:r>
      <w:proofErr w:type="spellStart"/>
      <w:r>
        <w:rPr>
          <w:sz w:val="19"/>
          <w:szCs w:val="19"/>
        </w:rPr>
        <w:t>puede_pagar</w:t>
      </w:r>
      <w:proofErr w:type="spellEnd"/>
      <w:r>
        <w:rPr>
          <w:sz w:val="19"/>
          <w:szCs w:val="19"/>
        </w:rPr>
        <w:t xml:space="preserve"> (el saldo medio cubre el monto) e </w:t>
      </w:r>
      <w:proofErr w:type="spellStart"/>
      <w:r>
        <w:rPr>
          <w:sz w:val="19"/>
          <w:szCs w:val="19"/>
        </w:rPr>
        <w:t>interes_potencial</w:t>
      </w:r>
      <w:proofErr w:type="spellEnd"/>
      <w:r>
        <w:rPr>
          <w:sz w:val="19"/>
          <w:szCs w:val="19"/>
        </w:rPr>
        <w:t xml:space="preserve"> (monto × tasa). El modelo usa 9 variables numéricas.</w:t>
      </w:r>
    </w:p>
    <w:p w14:paraId="551F64E5" w14:textId="77777777" w:rsidR="004C4465" w:rsidRDefault="00000000">
      <w:pPr>
        <w:pStyle w:val="Prrafodelista"/>
        <w:numPr>
          <w:ilvl w:val="0"/>
          <w:numId w:val="2"/>
        </w:numPr>
        <w:spacing w:after="40" w:line="252" w:lineRule="auto"/>
      </w:pPr>
      <w:r>
        <w:rPr>
          <w:b/>
          <w:bCs/>
          <w:sz w:val="19"/>
          <w:szCs w:val="19"/>
        </w:rPr>
        <w:t xml:space="preserve">Descartes. </w:t>
      </w:r>
      <w:r>
        <w:rPr>
          <w:sz w:val="19"/>
          <w:szCs w:val="19"/>
        </w:rPr>
        <w:t xml:space="preserve">Se eliminaron </w:t>
      </w:r>
      <w:proofErr w:type="spellStart"/>
      <w:r>
        <w:rPr>
          <w:sz w:val="19"/>
          <w:szCs w:val="19"/>
        </w:rPr>
        <w:t>Motivo_Prestamo</w:t>
      </w:r>
      <w:proofErr w:type="spellEnd"/>
      <w:r>
        <w:rPr>
          <w:sz w:val="19"/>
          <w:szCs w:val="19"/>
        </w:rPr>
        <w:t xml:space="preserve"> y </w:t>
      </w:r>
      <w:proofErr w:type="spellStart"/>
      <w:r>
        <w:rPr>
          <w:sz w:val="19"/>
          <w:szCs w:val="19"/>
        </w:rPr>
        <w:t>Fecha_Solicitud</w:t>
      </w:r>
      <w:proofErr w:type="spellEnd"/>
      <w:r>
        <w:rPr>
          <w:sz w:val="19"/>
          <w:szCs w:val="19"/>
        </w:rPr>
        <w:t xml:space="preserve">. </w:t>
      </w:r>
      <w:proofErr w:type="spellStart"/>
      <w:r>
        <w:rPr>
          <w:sz w:val="19"/>
          <w:szCs w:val="19"/>
        </w:rPr>
        <w:t>ID_Solicitud</w:t>
      </w:r>
      <w:proofErr w:type="spellEnd"/>
      <w:r>
        <w:rPr>
          <w:sz w:val="19"/>
          <w:szCs w:val="19"/>
        </w:rPr>
        <w:t xml:space="preserve"> e </w:t>
      </w:r>
      <w:proofErr w:type="spellStart"/>
      <w:r>
        <w:rPr>
          <w:sz w:val="19"/>
          <w:szCs w:val="19"/>
        </w:rPr>
        <w:t>ID_Usuario</w:t>
      </w:r>
      <w:proofErr w:type="spellEnd"/>
      <w:r>
        <w:rPr>
          <w:sz w:val="19"/>
          <w:szCs w:val="19"/>
        </w:rPr>
        <w:t xml:space="preserve"> solo identifican registros: usarlos haría que el modelo memorice en vez de aprender.</w:t>
      </w:r>
    </w:p>
    <w:p w14:paraId="306E9403" w14:textId="77777777" w:rsidR="004C4465" w:rsidRDefault="00000000">
      <w:pPr>
        <w:pStyle w:val="Prrafodelista"/>
        <w:numPr>
          <w:ilvl w:val="0"/>
          <w:numId w:val="2"/>
        </w:numPr>
        <w:spacing w:after="40" w:line="252" w:lineRule="auto"/>
      </w:pPr>
      <w:r>
        <w:rPr>
          <w:b/>
          <w:bCs/>
          <w:sz w:val="19"/>
          <w:szCs w:val="19"/>
        </w:rPr>
        <w:t xml:space="preserve">Nulos y duplicados. </w:t>
      </w:r>
      <w:r>
        <w:rPr>
          <w:sz w:val="19"/>
          <w:szCs w:val="19"/>
        </w:rPr>
        <w:t xml:space="preserve">Los nulos se imputaron con la mediana calculada solo con </w:t>
      </w:r>
      <w:proofErr w:type="spellStart"/>
      <w:r>
        <w:rPr>
          <w:sz w:val="19"/>
          <w:szCs w:val="19"/>
        </w:rPr>
        <w:t>train</w:t>
      </w:r>
      <w:proofErr w:type="spellEnd"/>
      <w:r>
        <w:rPr>
          <w:sz w:val="19"/>
          <w:szCs w:val="19"/>
        </w:rPr>
        <w:t xml:space="preserve"> y aplicada igual a test. Los archivos finales (train_clean.csv: 32.416 filas; test_clean.csv: 3.061) quedan sin nulos y sin </w:t>
      </w:r>
      <w:proofErr w:type="spellStart"/>
      <w:r>
        <w:rPr>
          <w:sz w:val="19"/>
          <w:szCs w:val="19"/>
        </w:rPr>
        <w:t>ID_Solicitud</w:t>
      </w:r>
      <w:proofErr w:type="spellEnd"/>
      <w:r>
        <w:rPr>
          <w:sz w:val="19"/>
          <w:szCs w:val="19"/>
        </w:rPr>
        <w:t xml:space="preserve"> duplicados.</w:t>
      </w:r>
    </w:p>
    <w:p w14:paraId="1D31035F" w14:textId="77777777" w:rsidR="004C4465" w:rsidRDefault="00000000">
      <w:pPr>
        <w:pStyle w:val="Prrafodelista"/>
        <w:numPr>
          <w:ilvl w:val="0"/>
          <w:numId w:val="2"/>
        </w:numPr>
        <w:spacing w:after="40" w:line="252" w:lineRule="auto"/>
      </w:pPr>
      <w:r>
        <w:rPr>
          <w:b/>
          <w:bCs/>
          <w:sz w:val="19"/>
          <w:szCs w:val="19"/>
        </w:rPr>
        <w:t xml:space="preserve">Desbalance. </w:t>
      </w:r>
      <w:r>
        <w:rPr>
          <w:sz w:val="19"/>
          <w:szCs w:val="19"/>
        </w:rPr>
        <w:t xml:space="preserve">El 84,05 % de los préstamos de </w:t>
      </w:r>
      <w:proofErr w:type="spellStart"/>
      <w:r>
        <w:rPr>
          <w:sz w:val="19"/>
          <w:szCs w:val="19"/>
        </w:rPr>
        <w:t>train</w:t>
      </w:r>
      <w:proofErr w:type="spellEnd"/>
      <w:r>
        <w:rPr>
          <w:sz w:val="19"/>
          <w:szCs w:val="19"/>
        </w:rPr>
        <w:t xml:space="preserve"> se pagó. Por eso todas las particiones son estratificadas, de modo que cada una conserve esa proporción.</w:t>
      </w:r>
    </w:p>
    <w:p w14:paraId="7C5B038A" w14:textId="77777777" w:rsidR="004C4465" w:rsidRDefault="00000000">
      <w:pPr>
        <w:pStyle w:val="Prrafodelista"/>
        <w:numPr>
          <w:ilvl w:val="0"/>
          <w:numId w:val="2"/>
        </w:numPr>
        <w:spacing w:after="40" w:line="252" w:lineRule="auto"/>
      </w:pPr>
      <w:r>
        <w:rPr>
          <w:b/>
          <w:bCs/>
          <w:sz w:val="19"/>
          <w:szCs w:val="19"/>
        </w:rPr>
        <w:t xml:space="preserve">Escala distinta en test. </w:t>
      </w:r>
      <w:r>
        <w:rPr>
          <w:sz w:val="19"/>
          <w:szCs w:val="19"/>
        </w:rPr>
        <w:t xml:space="preserve">El monto medio solicitado es de USD 14.290 en </w:t>
      </w:r>
      <w:proofErr w:type="spellStart"/>
      <w:r>
        <w:rPr>
          <w:sz w:val="19"/>
          <w:szCs w:val="19"/>
        </w:rPr>
        <w:t>train</w:t>
      </w:r>
      <w:proofErr w:type="spellEnd"/>
      <w:r>
        <w:rPr>
          <w:sz w:val="19"/>
          <w:szCs w:val="19"/>
        </w:rPr>
        <w:t xml:space="preserve"> y de USD 2.235 en test, y </w:t>
      </w:r>
      <w:proofErr w:type="spellStart"/>
      <w:r>
        <w:rPr>
          <w:sz w:val="19"/>
          <w:szCs w:val="19"/>
        </w:rPr>
        <w:t>puede_pagar</w:t>
      </w:r>
      <w:proofErr w:type="spellEnd"/>
      <w:r>
        <w:rPr>
          <w:sz w:val="19"/>
          <w:szCs w:val="19"/>
        </w:rPr>
        <w:t xml:space="preserve"> vale 1 en el 15,0 % de </w:t>
      </w:r>
      <w:proofErr w:type="spellStart"/>
      <w:r>
        <w:rPr>
          <w:sz w:val="19"/>
          <w:szCs w:val="19"/>
        </w:rPr>
        <w:t>train</w:t>
      </w:r>
      <w:proofErr w:type="spellEnd"/>
      <w:r>
        <w:rPr>
          <w:sz w:val="19"/>
          <w:szCs w:val="19"/>
        </w:rPr>
        <w:t xml:space="preserve"> y en el 79,2 % de test. Es un riesgo de generalización que dejamos documentado; las tasas, en cambio, son comparables.</w:t>
      </w:r>
    </w:p>
    <w:p w14:paraId="4AA3AF88" w14:textId="77777777" w:rsidR="004C4465" w:rsidRDefault="00000000">
      <w:pPr>
        <w:keepNext/>
        <w:pBdr>
          <w:bottom w:val="single" w:sz="6" w:space="2" w:color="1F3A5F"/>
        </w:pBdr>
        <w:spacing w:before="140" w:after="60"/>
      </w:pPr>
      <w:r>
        <w:rPr>
          <w:b/>
          <w:bCs/>
          <w:color w:val="1F3A5F"/>
          <w:sz w:val="24"/>
          <w:szCs w:val="24"/>
        </w:rPr>
        <w:t>3. Solución propuesta</w:t>
      </w:r>
    </w:p>
    <w:p w14:paraId="0491CB8D" w14:textId="77777777" w:rsidR="004C4465" w:rsidRDefault="00000000">
      <w:pPr>
        <w:spacing w:after="80" w:line="252" w:lineRule="auto"/>
        <w:jc w:val="both"/>
      </w:pPr>
      <w:r>
        <w:rPr>
          <w:sz w:val="19"/>
          <w:szCs w:val="19"/>
        </w:rPr>
        <w:t xml:space="preserve">Un Random Forest dentro de un pipeline de </w:t>
      </w:r>
      <w:proofErr w:type="spellStart"/>
      <w:r>
        <w:rPr>
          <w:sz w:val="19"/>
          <w:szCs w:val="19"/>
        </w:rPr>
        <w:t>scikit-learn</w:t>
      </w:r>
      <w:proofErr w:type="spellEnd"/>
      <w:r>
        <w:rPr>
          <w:sz w:val="19"/>
          <w:szCs w:val="19"/>
        </w:rPr>
        <w:t xml:space="preserve">, de modo que el preprocesamiento se ajusta solo con los datos de entrenamiento. La versión final usa 200 árboles, profundidad máxima 8, mínimo 40 observaciones por hoja, </w:t>
      </w:r>
      <w:proofErr w:type="spellStart"/>
      <w:r>
        <w:rPr>
          <w:sz w:val="19"/>
          <w:szCs w:val="19"/>
        </w:rPr>
        <w:t>max_features</w:t>
      </w:r>
      <w:proofErr w:type="spellEnd"/>
      <w:r>
        <w:rPr>
          <w:sz w:val="19"/>
          <w:szCs w:val="19"/>
        </w:rPr>
        <w:t xml:space="preserve"> = '</w:t>
      </w:r>
      <w:proofErr w:type="spellStart"/>
      <w:r>
        <w:rPr>
          <w:sz w:val="19"/>
          <w:szCs w:val="19"/>
        </w:rPr>
        <w:t>sqrt</w:t>
      </w:r>
      <w:proofErr w:type="spellEnd"/>
      <w:r>
        <w:rPr>
          <w:sz w:val="19"/>
          <w:szCs w:val="19"/>
        </w:rPr>
        <w:t>' y semilla 42; la primera versión usaba profundidad 16 y mínimo 60 por hoja. Con las probabilidades se calcula la ganancia esperada y se resuelve un problema de mochila entera (MILP) que maximiza la ganancia esperada total sin superar el presupuesto, considerando solo solicitudes con ganancia esperada positiva. Un puntaje de reglas (ingreso, interés potencial y atraso, con pesos 1:1:1) actúa únicamente como desempate marginal. El archivo de salida (solicitudes_test.csv) tiene una decisión de aprobación por solicitud: la versión final aprobó 646 y usó USD 1.999.800 del presupuesto.</w:t>
      </w:r>
    </w:p>
    <w:p w14:paraId="683A9D36" w14:textId="77777777" w:rsidR="004C4465" w:rsidRDefault="00000000">
      <w:pPr>
        <w:keepNext/>
        <w:pBdr>
          <w:bottom w:val="single" w:sz="6" w:space="2" w:color="1F3A5F"/>
        </w:pBdr>
        <w:spacing w:before="140" w:after="60"/>
      </w:pPr>
      <w:r>
        <w:rPr>
          <w:b/>
          <w:bCs/>
          <w:color w:val="1F3A5F"/>
          <w:sz w:val="24"/>
          <w:szCs w:val="24"/>
        </w:rPr>
        <w:t>4. Validación y comparación de enfoques</w:t>
      </w:r>
    </w:p>
    <w:p w14:paraId="2BAE1B47" w14:textId="77777777" w:rsidR="004C4465" w:rsidRDefault="00000000">
      <w:pPr>
        <w:spacing w:after="80" w:line="252" w:lineRule="auto"/>
        <w:jc w:val="both"/>
      </w:pPr>
      <w:r>
        <w:rPr>
          <w:sz w:val="19"/>
          <w:szCs w:val="19"/>
        </w:rPr>
        <w:t xml:space="preserve">Medimos siempre fuera de la muestra de entrenamiento, con </w:t>
      </w:r>
      <w:proofErr w:type="spellStart"/>
      <w:r>
        <w:rPr>
          <w:sz w:val="19"/>
          <w:szCs w:val="19"/>
        </w:rPr>
        <w:t>hold-out</w:t>
      </w:r>
      <w:proofErr w:type="spellEnd"/>
      <w:r>
        <w:rPr>
          <w:sz w:val="19"/>
          <w:szCs w:val="19"/>
        </w:rPr>
        <w:t xml:space="preserve"> estratificado 70/30 y K-Fold estratificado de 5 </w:t>
      </w:r>
      <w:proofErr w:type="spellStart"/>
      <w:r>
        <w:rPr>
          <w:sz w:val="19"/>
          <w:szCs w:val="19"/>
        </w:rPr>
        <w:t>folds</w:t>
      </w:r>
      <w:proofErr w:type="spellEnd"/>
      <w:r>
        <w:rPr>
          <w:sz w:val="19"/>
          <w:szCs w:val="19"/>
        </w:rPr>
        <w:t>. La métrica es de negocio: monto × tasa si el préstamo se paga, −monto si hay default y 0 si se rechaza. Para comparar, el ROI se calcula sobre el presupuesto simulado, que en cada conjunto es el 29,2 % del monto pedido (la proporción que USD 2.000.000 representan en test).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6"/>
        <w:gridCol w:w="1900"/>
        <w:gridCol w:w="2300"/>
      </w:tblGrid>
      <w:tr w:rsidR="004C4465" w14:paraId="217356D7"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51593388" w14:textId="77777777" w:rsidR="004C4465" w:rsidRDefault="00000000">
            <w:r>
              <w:rPr>
                <w:b/>
                <w:bCs/>
                <w:color w:val="FFFFFF"/>
                <w:sz w:val="18"/>
                <w:szCs w:val="18"/>
              </w:rPr>
              <w:t>Estrategia (mismo presupuesto relativo: 29,2 % del monto pedido)</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661ABFD8" w14:textId="77777777" w:rsidR="004C4465" w:rsidRDefault="00000000">
            <w:pPr>
              <w:jc w:val="right"/>
            </w:pPr>
            <w:r>
              <w:rPr>
                <w:b/>
                <w:bCs/>
                <w:color w:val="FFFFFF"/>
                <w:sz w:val="18"/>
                <w:szCs w:val="18"/>
              </w:rPr>
              <w:t>Hold-</w:t>
            </w:r>
            <w:proofErr w:type="spellStart"/>
            <w:r>
              <w:rPr>
                <w:b/>
                <w:bCs/>
                <w:color w:val="FFFFFF"/>
                <w:sz w:val="18"/>
                <w:szCs w:val="18"/>
              </w:rPr>
              <w:t>out</w:t>
            </w:r>
            <w:proofErr w:type="spellEnd"/>
            <w:r>
              <w:rPr>
                <w:b/>
                <w:bCs/>
                <w:color w:val="FFFFFF"/>
                <w:sz w:val="18"/>
                <w:szCs w:val="18"/>
              </w:rPr>
              <w:t xml:space="preserve"> 30 %</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2B3EC0B3" w14:textId="77777777" w:rsidR="004C4465" w:rsidRDefault="00000000">
            <w:pPr>
              <w:jc w:val="right"/>
            </w:pPr>
            <w:r>
              <w:rPr>
                <w:b/>
                <w:bCs/>
                <w:color w:val="FFFFFF"/>
                <w:sz w:val="18"/>
                <w:szCs w:val="18"/>
              </w:rPr>
              <w:t xml:space="preserve">CV 5 </w:t>
            </w:r>
            <w:proofErr w:type="spellStart"/>
            <w:r>
              <w:rPr>
                <w:b/>
                <w:bCs/>
                <w:color w:val="FFFFFF"/>
                <w:sz w:val="18"/>
                <w:szCs w:val="18"/>
              </w:rPr>
              <w:t>folds</w:t>
            </w:r>
            <w:proofErr w:type="spellEnd"/>
            <w:r>
              <w:rPr>
                <w:b/>
                <w:bCs/>
                <w:color w:val="FFFFFF"/>
                <w:sz w:val="18"/>
                <w:szCs w:val="18"/>
              </w:rPr>
              <w:t xml:space="preserve"> (media ± desvío)</w:t>
            </w:r>
          </w:p>
        </w:tc>
      </w:tr>
      <w:tr w:rsidR="004C4465" w14:paraId="1E662B75"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0D73857" w14:textId="77777777" w:rsidR="004C4465" w:rsidRDefault="00000000">
            <w:proofErr w:type="spellStart"/>
            <w:r>
              <w:rPr>
                <w:sz w:val="18"/>
                <w:szCs w:val="18"/>
              </w:rPr>
              <w:t>Baseline</w:t>
            </w:r>
            <w:proofErr w:type="spellEnd"/>
            <w:r>
              <w:rPr>
                <w:sz w:val="18"/>
                <w:szCs w:val="18"/>
              </w:rPr>
              <w:t>: prestar primero a la tasa más alta</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B995153" w14:textId="77777777" w:rsidR="004C4465" w:rsidRDefault="00000000">
            <w:pPr>
              <w:jc w:val="right"/>
            </w:pPr>
            <w:r>
              <w:rPr>
                <w:sz w:val="18"/>
                <w:szCs w:val="18"/>
              </w:rPr>
              <w:t>−3,72 %</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3D1B054" w14:textId="77777777" w:rsidR="004C4465" w:rsidRDefault="00000000">
            <w:pPr>
              <w:jc w:val="right"/>
            </w:pPr>
            <w:r>
              <w:rPr>
                <w:sz w:val="18"/>
                <w:szCs w:val="18"/>
              </w:rPr>
              <w:t>−4,93 % ± 1,42</w:t>
            </w:r>
          </w:p>
        </w:tc>
      </w:tr>
      <w:tr w:rsidR="004C4465" w14:paraId="1BFBA37B"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09DF009" w14:textId="77777777" w:rsidR="004C4465" w:rsidRDefault="00000000">
            <w:r>
              <w:rPr>
                <w:sz w:val="18"/>
                <w:szCs w:val="18"/>
              </w:rPr>
              <w:t>Regla de puntaje 1:1:1 (ingreso, interés potencial, atraso)</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60E5C84" w14:textId="77777777" w:rsidR="004C4465" w:rsidRDefault="00000000">
            <w:pPr>
              <w:jc w:val="right"/>
            </w:pPr>
            <w:r>
              <w:rPr>
                <w:sz w:val="18"/>
                <w:szCs w:val="18"/>
              </w:rPr>
              <w:t>17,80 %</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000063B" w14:textId="77777777" w:rsidR="004C4465" w:rsidRDefault="00000000">
            <w:pPr>
              <w:jc w:val="right"/>
            </w:pPr>
            <w:r>
              <w:rPr>
                <w:sz w:val="18"/>
                <w:szCs w:val="18"/>
              </w:rPr>
              <w:t>17,32 % ± 1,37</w:t>
            </w:r>
          </w:p>
        </w:tc>
      </w:tr>
      <w:tr w:rsidR="004C4465" w14:paraId="04C7846C"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FBB794F" w14:textId="77777777" w:rsidR="004C4465" w:rsidRDefault="00000000">
            <w:r>
              <w:rPr>
                <w:sz w:val="18"/>
                <w:szCs w:val="18"/>
              </w:rPr>
              <w:t>Árbol de decisión (profundidad 6) + optimización de cartera</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62981DF" w14:textId="77777777" w:rsidR="004C4465" w:rsidRDefault="00000000">
            <w:pPr>
              <w:jc w:val="right"/>
            </w:pPr>
            <w:r>
              <w:rPr>
                <w:sz w:val="18"/>
                <w:szCs w:val="18"/>
              </w:rPr>
              <w:t>22,39 %</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1682E5D" w14:textId="77777777" w:rsidR="004C4465" w:rsidRDefault="00000000">
            <w:pPr>
              <w:jc w:val="right"/>
            </w:pPr>
            <w:r>
              <w:rPr>
                <w:sz w:val="18"/>
                <w:szCs w:val="18"/>
              </w:rPr>
              <w:t>22,11 % ± 0,42</w:t>
            </w:r>
          </w:p>
        </w:tc>
      </w:tr>
      <w:tr w:rsidR="004C4465" w14:paraId="37C597CF"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52FE684" w14:textId="77777777" w:rsidR="004C4465" w:rsidRDefault="00000000">
            <w:r>
              <w:rPr>
                <w:sz w:val="18"/>
                <w:szCs w:val="18"/>
              </w:rPr>
              <w:t>Random Forest, primera versión (profundidad 16, hoja 60)</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49AB5A80" w14:textId="77777777" w:rsidR="004C4465" w:rsidRDefault="00000000">
            <w:pPr>
              <w:jc w:val="right"/>
            </w:pPr>
            <w:r>
              <w:rPr>
                <w:sz w:val="18"/>
                <w:szCs w:val="18"/>
              </w:rPr>
              <w:t>22,23 %</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4DBBC6C7" w14:textId="77777777" w:rsidR="004C4465" w:rsidRDefault="00000000">
            <w:pPr>
              <w:jc w:val="right"/>
            </w:pPr>
            <w:r>
              <w:rPr>
                <w:sz w:val="18"/>
                <w:szCs w:val="18"/>
              </w:rPr>
              <w:t>23,13 % ± 0,54</w:t>
            </w:r>
          </w:p>
        </w:tc>
      </w:tr>
      <w:tr w:rsidR="004C4465" w14:paraId="6170BE04" w14:textId="77777777">
        <w:tblPrEx>
          <w:tblCellMar>
            <w:top w:w="0" w:type="dxa"/>
            <w:bottom w:w="0" w:type="dxa"/>
          </w:tblCellMar>
        </w:tblPrEx>
        <w:tc>
          <w:tcPr>
            <w:tcW w:w="5106" w:type="dxa"/>
            <w:tcBorders>
              <w:top w:val="single" w:sz="4" w:space="0" w:color="B8C4D2"/>
              <w:left w:val="single" w:sz="4" w:space="0" w:color="B8C4D2"/>
              <w:bottom w:val="single" w:sz="4" w:space="0" w:color="B8C4D2"/>
              <w:right w:val="single" w:sz="4" w:space="0" w:color="B8C4D2"/>
            </w:tcBorders>
            <w:shd w:val="clear" w:color="auto" w:fill="EAF0F7"/>
            <w:tcMar>
              <w:top w:w="60" w:type="dxa"/>
              <w:left w:w="100" w:type="dxa"/>
              <w:bottom w:w="60" w:type="dxa"/>
              <w:right w:w="100" w:type="dxa"/>
            </w:tcMar>
          </w:tcPr>
          <w:p w14:paraId="325DC009" w14:textId="77777777" w:rsidR="004C4465" w:rsidRDefault="00000000">
            <w:r>
              <w:rPr>
                <w:b/>
                <w:bCs/>
                <w:sz w:val="18"/>
                <w:szCs w:val="18"/>
              </w:rPr>
              <w:t>Random Forest final (profundidad 8, hoja 40)</w:t>
            </w:r>
          </w:p>
        </w:tc>
        <w:tc>
          <w:tcPr>
            <w:tcW w:w="1900" w:type="dxa"/>
            <w:tcBorders>
              <w:top w:val="single" w:sz="4" w:space="0" w:color="B8C4D2"/>
              <w:left w:val="single" w:sz="4" w:space="0" w:color="B8C4D2"/>
              <w:bottom w:val="single" w:sz="4" w:space="0" w:color="B8C4D2"/>
              <w:right w:val="single" w:sz="4" w:space="0" w:color="B8C4D2"/>
            </w:tcBorders>
            <w:shd w:val="clear" w:color="auto" w:fill="EAF0F7"/>
            <w:tcMar>
              <w:top w:w="60" w:type="dxa"/>
              <w:left w:w="100" w:type="dxa"/>
              <w:bottom w:w="60" w:type="dxa"/>
              <w:right w:w="100" w:type="dxa"/>
            </w:tcMar>
          </w:tcPr>
          <w:p w14:paraId="519CD8F5" w14:textId="77777777" w:rsidR="004C4465" w:rsidRDefault="00000000">
            <w:pPr>
              <w:jc w:val="right"/>
            </w:pPr>
            <w:r>
              <w:rPr>
                <w:b/>
                <w:bCs/>
                <w:sz w:val="18"/>
                <w:szCs w:val="18"/>
              </w:rPr>
              <w:t>22,07 %</w:t>
            </w:r>
          </w:p>
        </w:tc>
        <w:tc>
          <w:tcPr>
            <w:tcW w:w="2300" w:type="dxa"/>
            <w:tcBorders>
              <w:top w:val="single" w:sz="4" w:space="0" w:color="B8C4D2"/>
              <w:left w:val="single" w:sz="4" w:space="0" w:color="B8C4D2"/>
              <w:bottom w:val="single" w:sz="4" w:space="0" w:color="B8C4D2"/>
              <w:right w:val="single" w:sz="4" w:space="0" w:color="B8C4D2"/>
            </w:tcBorders>
            <w:shd w:val="clear" w:color="auto" w:fill="EAF0F7"/>
            <w:tcMar>
              <w:top w:w="60" w:type="dxa"/>
              <w:left w:w="100" w:type="dxa"/>
              <w:bottom w:w="60" w:type="dxa"/>
              <w:right w:w="100" w:type="dxa"/>
            </w:tcMar>
          </w:tcPr>
          <w:p w14:paraId="093C17FB" w14:textId="77777777" w:rsidR="004C4465" w:rsidRDefault="00000000">
            <w:pPr>
              <w:jc w:val="right"/>
            </w:pPr>
            <w:r>
              <w:rPr>
                <w:b/>
                <w:bCs/>
                <w:sz w:val="18"/>
                <w:szCs w:val="18"/>
              </w:rPr>
              <w:t>22,83 % ± 0,54</w:t>
            </w:r>
          </w:p>
        </w:tc>
      </w:tr>
    </w:tbl>
    <w:p w14:paraId="3D368462" w14:textId="77777777" w:rsidR="004C4465" w:rsidRDefault="00000000">
      <w:pPr>
        <w:spacing w:before="40" w:after="80"/>
      </w:pPr>
      <w:r>
        <w:rPr>
          <w:sz w:val="18"/>
          <w:szCs w:val="18"/>
        </w:rPr>
        <w:t xml:space="preserve">Con el presupuesto fijo de USD 2.000.000, el Random Forest final obtuvo una ganancia neta de USD 446.709 en </w:t>
      </w:r>
      <w:proofErr w:type="spellStart"/>
      <w:r>
        <w:rPr>
          <w:sz w:val="18"/>
          <w:szCs w:val="18"/>
        </w:rPr>
        <w:t>hold-out</w:t>
      </w:r>
      <w:proofErr w:type="spellEnd"/>
      <w:r>
        <w:rPr>
          <w:sz w:val="18"/>
          <w:szCs w:val="18"/>
        </w:rPr>
        <w:t xml:space="preserve"> (ROI 22,34 % sobre el capital prestado) y de USD 529.756 en promedio en CV (ROI 26,49 %), positiva en los cinco </w:t>
      </w:r>
      <w:proofErr w:type="spellStart"/>
      <w:r>
        <w:rPr>
          <w:sz w:val="18"/>
          <w:szCs w:val="18"/>
        </w:rPr>
        <w:t>folds</w:t>
      </w:r>
      <w:proofErr w:type="spellEnd"/>
      <w:r>
        <w:rPr>
          <w:sz w:val="18"/>
          <w:szCs w:val="18"/>
        </w:rPr>
        <w:t xml:space="preserve"> (de USD 493.691 a USD 591.769). La primera versión obtuvo USD 449.628 (22,48 %) y USD 532.878 (26,64 %).</w:t>
      </w:r>
    </w:p>
    <w:p w14:paraId="6F8170C6" w14:textId="77777777" w:rsidR="004C4465" w:rsidRDefault="00000000">
      <w:pPr>
        <w:keepNext/>
        <w:pBdr>
          <w:bottom w:val="single" w:sz="6" w:space="2" w:color="1F3A5F"/>
        </w:pBdr>
        <w:spacing w:before="140" w:after="60"/>
      </w:pPr>
      <w:r>
        <w:rPr>
          <w:b/>
          <w:bCs/>
          <w:color w:val="1F3A5F"/>
          <w:sz w:val="24"/>
          <w:szCs w:val="24"/>
        </w:rPr>
        <w:lastRenderedPageBreak/>
        <w:t>5. Otros enfoques probados</w:t>
      </w:r>
    </w:p>
    <w:p w14:paraId="53D05F94" w14:textId="77777777" w:rsidR="004C4465" w:rsidRDefault="00000000">
      <w:pPr>
        <w:pStyle w:val="Prrafodelista"/>
        <w:numPr>
          <w:ilvl w:val="0"/>
          <w:numId w:val="2"/>
        </w:numPr>
        <w:spacing w:after="40" w:line="252" w:lineRule="auto"/>
      </w:pPr>
      <w:proofErr w:type="spellStart"/>
      <w:r>
        <w:rPr>
          <w:b/>
          <w:bCs/>
          <w:sz w:val="19"/>
          <w:szCs w:val="19"/>
        </w:rPr>
        <w:t>Baseline</w:t>
      </w:r>
      <w:proofErr w:type="spellEnd"/>
      <w:r>
        <w:rPr>
          <w:b/>
          <w:bCs/>
          <w:sz w:val="19"/>
          <w:szCs w:val="19"/>
        </w:rPr>
        <w:t xml:space="preserve"> por tasa. </w:t>
      </w:r>
      <w:r>
        <w:rPr>
          <w:sz w:val="19"/>
          <w:szCs w:val="19"/>
        </w:rPr>
        <w:t xml:space="preserve">Prestar primero a quien paga la tasa más alta. Perdió dinero en validación (ROI −3,72 % en </w:t>
      </w:r>
      <w:proofErr w:type="spellStart"/>
      <w:r>
        <w:rPr>
          <w:sz w:val="19"/>
          <w:szCs w:val="19"/>
        </w:rPr>
        <w:t>hold-out</w:t>
      </w:r>
      <w:proofErr w:type="spellEnd"/>
      <w:r>
        <w:rPr>
          <w:sz w:val="19"/>
          <w:szCs w:val="19"/>
        </w:rPr>
        <w:t xml:space="preserve"> y −4,93 % en CV): la tasa por sí sola no distingue a los buenos pagadores.</w:t>
      </w:r>
    </w:p>
    <w:p w14:paraId="7BEF9025" w14:textId="77777777" w:rsidR="004C4465" w:rsidRDefault="00000000">
      <w:pPr>
        <w:pStyle w:val="Prrafodelista"/>
        <w:numPr>
          <w:ilvl w:val="0"/>
          <w:numId w:val="2"/>
        </w:numPr>
        <w:spacing w:after="40" w:line="252" w:lineRule="auto"/>
      </w:pPr>
      <w:r>
        <w:rPr>
          <w:b/>
          <w:bCs/>
          <w:sz w:val="19"/>
          <w:szCs w:val="19"/>
        </w:rPr>
        <w:t xml:space="preserve">Regla de puntaje sin modelo. </w:t>
      </w:r>
      <w:r>
        <w:rPr>
          <w:sz w:val="19"/>
          <w:szCs w:val="19"/>
        </w:rPr>
        <w:t xml:space="preserve">Aprobar por el promedio ponderado 1:1:1 de ingreso, interés potencial y atraso. Fue rentable (ROI ≈ 17 %) pero quedó 4,3 a 5,5 puntos por debajo del Random Forest final y con mayor variabilidad entre </w:t>
      </w:r>
      <w:proofErr w:type="spellStart"/>
      <w:r>
        <w:rPr>
          <w:sz w:val="19"/>
          <w:szCs w:val="19"/>
        </w:rPr>
        <w:t>folds</w:t>
      </w:r>
      <w:proofErr w:type="spellEnd"/>
      <w:r>
        <w:rPr>
          <w:sz w:val="19"/>
          <w:szCs w:val="19"/>
        </w:rPr>
        <w:t>, por lo que la dejamos solo como desempate.</w:t>
      </w:r>
    </w:p>
    <w:p w14:paraId="3079E469" w14:textId="77777777" w:rsidR="004C4465" w:rsidRDefault="00000000">
      <w:pPr>
        <w:pStyle w:val="Prrafodelista"/>
        <w:numPr>
          <w:ilvl w:val="0"/>
          <w:numId w:val="2"/>
        </w:numPr>
        <w:spacing w:after="40" w:line="252" w:lineRule="auto"/>
      </w:pPr>
      <w:r>
        <w:rPr>
          <w:b/>
          <w:bCs/>
          <w:sz w:val="19"/>
          <w:szCs w:val="19"/>
        </w:rPr>
        <w:t xml:space="preserve">Árbol de decisión de profundidad 6. </w:t>
      </w:r>
      <w:r>
        <w:rPr>
          <w:sz w:val="19"/>
          <w:szCs w:val="19"/>
        </w:rPr>
        <w:t xml:space="preserve">Mismo esquema (probabilidad de pago + optimización de cartera) con un único árbol de profundidad 6 y mínimo 40 observaciones por hoja. Rindió casi igual en </w:t>
      </w:r>
      <w:proofErr w:type="spellStart"/>
      <w:r>
        <w:rPr>
          <w:sz w:val="19"/>
          <w:szCs w:val="19"/>
        </w:rPr>
        <w:t>hold-out</w:t>
      </w:r>
      <w:proofErr w:type="spellEnd"/>
      <w:r>
        <w:rPr>
          <w:sz w:val="19"/>
          <w:szCs w:val="19"/>
        </w:rPr>
        <w:t xml:space="preserve"> (22,39 % contra 22,07 %) y algo menos en CV (22,11 % contra 22,83 %). Con USD 2.000.000 fijos obtuvo USD 433.661 en </w:t>
      </w:r>
      <w:proofErr w:type="spellStart"/>
      <w:r>
        <w:rPr>
          <w:sz w:val="19"/>
          <w:szCs w:val="19"/>
        </w:rPr>
        <w:t>hold-out</w:t>
      </w:r>
      <w:proofErr w:type="spellEnd"/>
      <w:r>
        <w:rPr>
          <w:sz w:val="19"/>
          <w:szCs w:val="19"/>
        </w:rPr>
        <w:t xml:space="preserve"> y USD 515.844 en CV, y en test una ganancia esperada de USD 510.231 con 608 aprobadas, 469 de ellas en común con la primera versión del Random Forest. En la plataforma quedó muy por debajo de los Random Forest.</w:t>
      </w:r>
    </w:p>
    <w:p w14:paraId="4F3C6B7B" w14:textId="77777777" w:rsidR="004C4465" w:rsidRDefault="00000000">
      <w:pPr>
        <w:pStyle w:val="Prrafodelista"/>
        <w:numPr>
          <w:ilvl w:val="0"/>
          <w:numId w:val="2"/>
        </w:numPr>
        <w:spacing w:after="40" w:line="252" w:lineRule="auto"/>
      </w:pPr>
      <w:r>
        <w:rPr>
          <w:b/>
          <w:bCs/>
          <w:sz w:val="19"/>
          <w:szCs w:val="19"/>
        </w:rPr>
        <w:t xml:space="preserve">Random Forest, primera versión. </w:t>
      </w:r>
      <w:r>
        <w:rPr>
          <w:sz w:val="19"/>
          <w:szCs w:val="19"/>
        </w:rPr>
        <w:t xml:space="preserve">Con profundidad 16 y mínimo 60 por hoja. Redujimos la profundidad a 8 y el mínimo por hoja a 40: en validación el rendimiento fue equivalente (23,13 % contra 22,83 % en CV, dentro de la variabilidad entre </w:t>
      </w:r>
      <w:proofErr w:type="spellStart"/>
      <w:r>
        <w:rPr>
          <w:sz w:val="19"/>
          <w:szCs w:val="19"/>
        </w:rPr>
        <w:t>folds</w:t>
      </w:r>
      <w:proofErr w:type="spellEnd"/>
      <w:r>
        <w:rPr>
          <w:sz w:val="19"/>
          <w:szCs w:val="19"/>
        </w:rPr>
        <w:t>) y la selección en test casi no cambió (607 de 649 aprobadas en común), pero en la plataforma la versión final mejoró levemente.</w:t>
      </w:r>
    </w:p>
    <w:p w14:paraId="5BF437A1" w14:textId="77777777" w:rsidR="004C4465" w:rsidRDefault="00000000">
      <w:pPr>
        <w:keepNext/>
        <w:pBdr>
          <w:bottom w:val="single" w:sz="6" w:space="2" w:color="1F3A5F"/>
        </w:pBdr>
        <w:spacing w:before="140" w:after="60"/>
      </w:pPr>
      <w:r>
        <w:rPr>
          <w:b/>
          <w:bCs/>
          <w:color w:val="1F3A5F"/>
          <w:sz w:val="24"/>
          <w:szCs w:val="24"/>
        </w:rPr>
        <w:t>6. Resultado en la plataforma y limitaciones</w:t>
      </w:r>
    </w:p>
    <w:p w14:paraId="4307158C" w14:textId="77777777" w:rsidR="004C4465" w:rsidRDefault="00000000">
      <w:pPr>
        <w:spacing w:after="80" w:line="252" w:lineRule="auto"/>
        <w:jc w:val="both"/>
      </w:pPr>
      <w:r>
        <w:rPr>
          <w:sz w:val="19"/>
          <w:szCs w:val="19"/>
        </w:rPr>
        <w:t>La tabla de posiciones se calcula con aproximadamente el 30 % de los datos de test; el resultado final usará el 70 % restante. Subimos cuatro versiones: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1300"/>
        <w:gridCol w:w="2400"/>
        <w:gridCol w:w="2600"/>
      </w:tblGrid>
      <w:tr w:rsidR="004C4465" w14:paraId="3945645E" w14:textId="77777777">
        <w:tblPrEx>
          <w:tblCellMar>
            <w:top w:w="0" w:type="dxa"/>
            <w:bottom w:w="0" w:type="dxa"/>
          </w:tblCellMar>
        </w:tblPrEx>
        <w:tc>
          <w:tcPr>
            <w:tcW w:w="3006"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01D27195" w14:textId="77777777" w:rsidR="004C4465" w:rsidRDefault="00000000">
            <w:r>
              <w:rPr>
                <w:b/>
                <w:bCs/>
                <w:color w:val="FFFFFF"/>
                <w:sz w:val="18"/>
                <w:szCs w:val="18"/>
              </w:rPr>
              <w:t>Estrategia</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015C0CD1" w14:textId="77777777" w:rsidR="004C4465" w:rsidRDefault="00000000">
            <w:pPr>
              <w:jc w:val="right"/>
            </w:pPr>
            <w:r>
              <w:rPr>
                <w:b/>
                <w:bCs/>
                <w:color w:val="FFFFFF"/>
                <w:sz w:val="18"/>
                <w:szCs w:val="18"/>
              </w:rPr>
              <w:t>Aprobadas</w:t>
            </w:r>
          </w:p>
        </w:tc>
        <w:tc>
          <w:tcPr>
            <w:tcW w:w="2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43645D6F" w14:textId="77777777" w:rsidR="004C4465" w:rsidRDefault="00000000">
            <w:pPr>
              <w:jc w:val="right"/>
            </w:pPr>
            <w:r>
              <w:rPr>
                <w:b/>
                <w:bCs/>
                <w:color w:val="FFFFFF"/>
                <w:sz w:val="18"/>
                <w:szCs w:val="18"/>
              </w:rPr>
              <w:t>Ganancia esperada (test completo)</w:t>
            </w:r>
          </w:p>
        </w:tc>
        <w:tc>
          <w:tcPr>
            <w:tcW w:w="2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tcPr>
          <w:p w14:paraId="7C613BF0" w14:textId="77777777" w:rsidR="004C4465" w:rsidRDefault="00000000">
            <w:pPr>
              <w:jc w:val="right"/>
            </w:pPr>
            <w:r>
              <w:rPr>
                <w:b/>
                <w:bCs/>
                <w:color w:val="FFFFFF"/>
                <w:sz w:val="18"/>
                <w:szCs w:val="18"/>
              </w:rPr>
              <w:t>Plataforma (≈ 30 % del test)</w:t>
            </w:r>
          </w:p>
        </w:tc>
      </w:tr>
      <w:tr w:rsidR="004C4465" w14:paraId="32FC211C" w14:textId="77777777">
        <w:tblPrEx>
          <w:tblCellMar>
            <w:top w:w="0" w:type="dxa"/>
            <w:bottom w:w="0" w:type="dxa"/>
          </w:tblCellMar>
        </w:tblPrEx>
        <w:tc>
          <w:tcPr>
            <w:tcW w:w="30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6283F7E" w14:textId="77777777" w:rsidR="004C4465" w:rsidRDefault="00000000">
            <w:r>
              <w:rPr>
                <w:sz w:val="18"/>
                <w:szCs w:val="18"/>
              </w:rPr>
              <w:t>Regla de puntaje 1:1:1</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41189A58" w14:textId="77777777" w:rsidR="004C4465" w:rsidRDefault="00000000">
            <w:pPr>
              <w:jc w:val="right"/>
            </w:pPr>
            <w:r>
              <w:rPr>
                <w:sz w:val="18"/>
                <w:szCs w:val="18"/>
              </w:rPr>
              <w:t>406</w:t>
            </w:r>
          </w:p>
        </w:tc>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7E5E614" w14:textId="77777777" w:rsidR="004C4465" w:rsidRDefault="00000000">
            <w:pPr>
              <w:jc w:val="right"/>
            </w:pPr>
            <w:r>
              <w:rPr>
                <w:sz w:val="18"/>
                <w:szCs w:val="18"/>
              </w:rPr>
              <w:t>—</w:t>
            </w:r>
          </w:p>
        </w:tc>
        <w:tc>
          <w:tcPr>
            <w:tcW w:w="2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9B86B5F" w14:textId="77777777" w:rsidR="004C4465" w:rsidRDefault="00000000">
            <w:pPr>
              <w:jc w:val="right"/>
            </w:pPr>
            <w:r>
              <w:rPr>
                <w:sz w:val="18"/>
                <w:szCs w:val="18"/>
              </w:rPr>
              <w:t>USD 131.310,75</w:t>
            </w:r>
          </w:p>
        </w:tc>
      </w:tr>
      <w:tr w:rsidR="004C4465" w14:paraId="65E1AA0E" w14:textId="77777777">
        <w:tblPrEx>
          <w:tblCellMar>
            <w:top w:w="0" w:type="dxa"/>
            <w:bottom w:w="0" w:type="dxa"/>
          </w:tblCellMar>
        </w:tblPrEx>
        <w:tc>
          <w:tcPr>
            <w:tcW w:w="30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D8F03EB" w14:textId="77777777" w:rsidR="004C4465" w:rsidRDefault="00000000">
            <w:r>
              <w:rPr>
                <w:sz w:val="18"/>
                <w:szCs w:val="18"/>
              </w:rPr>
              <w:t>Árbol de decisión (profundidad 6)</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4296128E" w14:textId="77777777" w:rsidR="004C4465" w:rsidRDefault="00000000">
            <w:pPr>
              <w:jc w:val="right"/>
            </w:pPr>
            <w:r>
              <w:rPr>
                <w:sz w:val="18"/>
                <w:szCs w:val="18"/>
              </w:rPr>
              <w:t>608</w:t>
            </w:r>
          </w:p>
        </w:tc>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252B6AB" w14:textId="77777777" w:rsidR="004C4465" w:rsidRDefault="00000000">
            <w:pPr>
              <w:jc w:val="right"/>
            </w:pPr>
            <w:r>
              <w:rPr>
                <w:sz w:val="18"/>
                <w:szCs w:val="18"/>
              </w:rPr>
              <w:t>USD 510.231,03</w:t>
            </w:r>
          </w:p>
        </w:tc>
        <w:tc>
          <w:tcPr>
            <w:tcW w:w="2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A3672E0" w14:textId="77777777" w:rsidR="004C4465" w:rsidRDefault="00000000">
            <w:pPr>
              <w:jc w:val="right"/>
            </w:pPr>
            <w:r>
              <w:rPr>
                <w:sz w:val="18"/>
                <w:szCs w:val="18"/>
              </w:rPr>
              <w:t>USD 129.347,68</w:t>
            </w:r>
          </w:p>
        </w:tc>
      </w:tr>
      <w:tr w:rsidR="004C4465" w14:paraId="044E32D1" w14:textId="77777777">
        <w:tblPrEx>
          <w:tblCellMar>
            <w:top w:w="0" w:type="dxa"/>
            <w:bottom w:w="0" w:type="dxa"/>
          </w:tblCellMar>
        </w:tblPrEx>
        <w:tc>
          <w:tcPr>
            <w:tcW w:w="30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D45BB25" w14:textId="77777777" w:rsidR="004C4465" w:rsidRDefault="00000000">
            <w:r>
              <w:rPr>
                <w:sz w:val="18"/>
                <w:szCs w:val="18"/>
              </w:rPr>
              <w:t>Random Forest, primera versión</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7294F0A" w14:textId="77777777" w:rsidR="004C4465" w:rsidRDefault="00000000">
            <w:pPr>
              <w:jc w:val="right"/>
            </w:pPr>
            <w:r>
              <w:rPr>
                <w:sz w:val="18"/>
                <w:szCs w:val="18"/>
              </w:rPr>
              <w:t>649</w:t>
            </w:r>
          </w:p>
        </w:tc>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6C9E8E2" w14:textId="77777777" w:rsidR="004C4465" w:rsidRDefault="00000000">
            <w:pPr>
              <w:jc w:val="right"/>
            </w:pPr>
            <w:r>
              <w:rPr>
                <w:sz w:val="18"/>
                <w:szCs w:val="18"/>
              </w:rPr>
              <w:t>USD 512.697,56</w:t>
            </w:r>
          </w:p>
        </w:tc>
        <w:tc>
          <w:tcPr>
            <w:tcW w:w="2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AF7ED0F" w14:textId="77777777" w:rsidR="004C4465" w:rsidRDefault="00000000">
            <w:pPr>
              <w:jc w:val="right"/>
            </w:pPr>
            <w:r>
              <w:rPr>
                <w:sz w:val="18"/>
                <w:szCs w:val="18"/>
              </w:rPr>
              <w:t>USD 171.368,56</w:t>
            </w:r>
          </w:p>
        </w:tc>
      </w:tr>
      <w:tr w:rsidR="004C4465" w14:paraId="39C98FBB" w14:textId="77777777">
        <w:tblPrEx>
          <w:tblCellMar>
            <w:top w:w="0" w:type="dxa"/>
            <w:bottom w:w="0" w:type="dxa"/>
          </w:tblCellMar>
        </w:tblPrEx>
        <w:tc>
          <w:tcPr>
            <w:tcW w:w="3006"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470031A6" w14:textId="77777777" w:rsidR="004C4465" w:rsidRDefault="00000000">
            <w:r>
              <w:rPr>
                <w:sz w:val="18"/>
                <w:szCs w:val="18"/>
              </w:rPr>
              <w:t>Random Forest final (</w:t>
            </w:r>
            <w:proofErr w:type="spellStart"/>
            <w:r>
              <w:rPr>
                <w:sz w:val="18"/>
                <w:szCs w:val="18"/>
              </w:rPr>
              <w:t>prof.</w:t>
            </w:r>
            <w:proofErr w:type="spellEnd"/>
            <w:r>
              <w:rPr>
                <w:sz w:val="18"/>
                <w:szCs w:val="18"/>
              </w:rPr>
              <w:t xml:space="preserve"> 8, hoja 40)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D7D9035" w14:textId="77777777" w:rsidR="004C4465" w:rsidRDefault="00000000">
            <w:pPr>
              <w:jc w:val="right"/>
            </w:pPr>
            <w:r>
              <w:rPr>
                <w:sz w:val="18"/>
                <w:szCs w:val="18"/>
              </w:rPr>
              <w:t>646</w:t>
            </w:r>
          </w:p>
        </w:tc>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5123878" w14:textId="77777777" w:rsidR="004C4465" w:rsidRDefault="00000000">
            <w:pPr>
              <w:jc w:val="right"/>
            </w:pPr>
            <w:r>
              <w:rPr>
                <w:sz w:val="18"/>
                <w:szCs w:val="18"/>
              </w:rPr>
              <w:t>USD 507.708,58</w:t>
            </w:r>
          </w:p>
        </w:tc>
        <w:tc>
          <w:tcPr>
            <w:tcW w:w="2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70D06C6" w14:textId="77777777" w:rsidR="004C4465" w:rsidRDefault="00000000">
            <w:pPr>
              <w:jc w:val="right"/>
            </w:pPr>
            <w:r>
              <w:rPr>
                <w:sz w:val="18"/>
                <w:szCs w:val="18"/>
              </w:rPr>
              <w:t>USD 172.695,35</w:t>
            </w:r>
          </w:p>
        </w:tc>
      </w:tr>
    </w:tbl>
    <w:p w14:paraId="049BBC73" w14:textId="77777777" w:rsidR="004C4465" w:rsidRDefault="00000000">
      <w:pPr>
        <w:spacing w:before="40" w:after="80"/>
      </w:pPr>
      <w:r>
        <w:rPr>
          <w:i/>
          <w:iCs/>
          <w:color w:val="5A6270"/>
          <w:sz w:val="16"/>
          <w:szCs w:val="16"/>
        </w:rPr>
        <w:t>Los puntajes de la plataforma corresponden a ≈ 30 % del test; las ganancias esperadas, a todo el test.</w:t>
      </w:r>
    </w:p>
    <w:p w14:paraId="65992E23" w14:textId="77777777" w:rsidR="004C4465" w:rsidRDefault="00000000">
      <w:pPr>
        <w:spacing w:after="80" w:line="252" w:lineRule="auto"/>
        <w:jc w:val="both"/>
      </w:pPr>
      <w:r>
        <w:rPr>
          <w:sz w:val="19"/>
          <w:szCs w:val="19"/>
        </w:rPr>
        <w:t xml:space="preserve">Las dos versiones del Random Forest fueron las mejores en la plataforma: la final obtuvo USD 172.695 y la primera USD 171.369. La diferencia, de USD 1.327 (menos del 1 %), es pequeña para una muestra parcial de ≈ 30 %. Ambas están en línea con lo esperado o por encima: el 30 % de la ganancia esperada para todo el test es de unos USD 152.300 en la versión final y de unos USD 153.800 en la primera. En cambio, el árbol de decisión quedó por debajo (unos USD 153.100 esperados contra USD 129.348) y la regla de puntaje, que en validación rendía menos que él, quedó apenas por encima. Con una muestra parcial no podemos afirmar si esas diferencias son ruido o reales; una posibilidad es que un único árbol, más ajustado a los datos de entrenamiento, se resienta por la diferencia de escala de los montos entre </w:t>
      </w:r>
      <w:proofErr w:type="spellStart"/>
      <w:r>
        <w:rPr>
          <w:sz w:val="19"/>
          <w:szCs w:val="19"/>
        </w:rPr>
        <w:t>train</w:t>
      </w:r>
      <w:proofErr w:type="spellEnd"/>
      <w:r>
        <w:rPr>
          <w:sz w:val="19"/>
          <w:szCs w:val="19"/>
        </w:rPr>
        <w:t xml:space="preserve"> y test, pero no lo comprobamos. Como la validación fue equivalente entre las dos versiones y la final obtuvo el mejor puntaje en la plataforma, adoptamos el Random Forest de profundidad 8 y mínimo 40 por hoja como solución final.</w:t>
      </w:r>
    </w:p>
    <w:p w14:paraId="408BF4EB" w14:textId="779D7DF9" w:rsidR="004C4465" w:rsidRDefault="004C4465">
      <w:pPr>
        <w:spacing w:after="80" w:line="252" w:lineRule="auto"/>
        <w:jc w:val="both"/>
      </w:pPr>
    </w:p>
    <w:sectPr w:rsidR="004C4465">
      <w:headerReference w:type="default" r:id="rId7"/>
      <w:footerReference w:type="default" r:id="rId8"/>
      <w:pgSz w:w="11906" w:h="16838"/>
      <w:pgMar w:top="1000" w:right="1300" w:bottom="9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BCA2" w14:textId="77777777" w:rsidR="008B2F77" w:rsidRDefault="008B2F77">
      <w:r>
        <w:separator/>
      </w:r>
    </w:p>
  </w:endnote>
  <w:endnote w:type="continuationSeparator" w:id="0">
    <w:p w14:paraId="099A4D74" w14:textId="77777777" w:rsidR="008B2F77" w:rsidRDefault="008B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B019" w14:textId="77777777" w:rsidR="004C4465" w:rsidRDefault="00000000">
    <w:pPr>
      <w:jc w:val="center"/>
    </w:pPr>
    <w:proofErr w:type="spellStart"/>
    <w:r>
      <w:rPr>
        <w:color w:val="5A6270"/>
        <w:sz w:val="16"/>
        <w:szCs w:val="16"/>
      </w:rPr>
      <w:t>PrestaMatch</w:t>
    </w:r>
    <w:proofErr w:type="spellEnd"/>
    <w:r>
      <w:rPr>
        <w:color w:val="5A6270"/>
        <w:sz w:val="16"/>
        <w:szCs w:val="16"/>
      </w:rPr>
      <w:t xml:space="preserve"> · Informe del modelo · Página </w:t>
    </w:r>
    <w:r>
      <w:rPr>
        <w:color w:val="5A6270"/>
        <w:sz w:val="16"/>
        <w:szCs w:val="16"/>
      </w:rPr>
      <w:fldChar w:fldCharType="begin"/>
    </w:r>
    <w:r>
      <w:rPr>
        <w:color w:val="5A6270"/>
        <w:sz w:val="16"/>
        <w:szCs w:val="16"/>
      </w:rPr>
      <w:instrText>PAGE</w:instrText>
    </w:r>
    <w:r>
      <w:rPr>
        <w:color w:val="5A6270"/>
        <w:sz w:val="16"/>
        <w:szCs w:val="16"/>
      </w:rPr>
      <w:fldChar w:fldCharType="separate"/>
    </w:r>
    <w:r w:rsidR="0007346B">
      <w:rPr>
        <w:noProof/>
        <w:color w:val="5A6270"/>
        <w:sz w:val="16"/>
        <w:szCs w:val="16"/>
      </w:rPr>
      <w:t>1</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E780" w14:textId="77777777" w:rsidR="008B2F77" w:rsidRDefault="008B2F77">
      <w:r>
        <w:separator/>
      </w:r>
    </w:p>
  </w:footnote>
  <w:footnote w:type="continuationSeparator" w:id="0">
    <w:p w14:paraId="709B445C" w14:textId="77777777" w:rsidR="008B2F77" w:rsidRDefault="008B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91B1" w14:textId="77777777" w:rsidR="0007346B" w:rsidRPr="003070AA" w:rsidRDefault="0007346B" w:rsidP="0007346B">
    <w:pPr>
      <w:pStyle w:val="Encabezado"/>
    </w:pPr>
    <w:r w:rsidRPr="003070AA">
      <w:rPr>
        <w:noProof/>
      </w:rPr>
      <w:drawing>
        <wp:anchor distT="0" distB="0" distL="114300" distR="114300" simplePos="0" relativeHeight="251659264" behindDoc="0" locked="0" layoutInCell="1" allowOverlap="1" wp14:anchorId="1679AD9A" wp14:editId="5505AD02">
          <wp:simplePos x="0" y="0"/>
          <wp:positionH relativeFrom="column">
            <wp:posOffset>5270500</wp:posOffset>
          </wp:positionH>
          <wp:positionV relativeFrom="paragraph">
            <wp:posOffset>-249555</wp:posOffset>
          </wp:positionV>
          <wp:extent cx="638175" cy="638175"/>
          <wp:effectExtent l="0" t="0" r="9525" b="9525"/>
          <wp:wrapNone/>
          <wp:docPr id="18701988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anchor>
      </w:drawing>
    </w:r>
    <w:r w:rsidRPr="003070AA">
      <w:t>Balderrama Alexis.</w:t>
    </w:r>
  </w:p>
  <w:p w14:paraId="740F0139" w14:textId="77777777" w:rsidR="0007346B" w:rsidRPr="003070AA" w:rsidRDefault="0007346B" w:rsidP="0007346B">
    <w:pPr>
      <w:pStyle w:val="Encabezado"/>
    </w:pPr>
    <w:r w:rsidRPr="003070AA">
      <w:t>Bergonzi Juan.</w:t>
    </w:r>
  </w:p>
  <w:p w14:paraId="7EAEE44F" w14:textId="77777777" w:rsidR="0007346B" w:rsidRPr="003070AA" w:rsidRDefault="0007346B" w:rsidP="0007346B">
    <w:pPr>
      <w:pStyle w:val="Encabezado"/>
    </w:pPr>
    <w:r>
      <w:t>Inteligencia Artificial</w:t>
    </w:r>
    <w:r w:rsidRPr="003070AA">
      <w:t xml:space="preserve"> 2026 4to Ing. Informática. </w:t>
    </w:r>
  </w:p>
  <w:p w14:paraId="118ABA94" w14:textId="77777777" w:rsidR="0007346B" w:rsidRDefault="000734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4E23"/>
    <w:multiLevelType w:val="hybridMultilevel"/>
    <w:tmpl w:val="D716F926"/>
    <w:lvl w:ilvl="0" w:tplc="B406E9D2">
      <w:start w:val="1"/>
      <w:numFmt w:val="bullet"/>
      <w:lvlText w:val="•"/>
      <w:lvlJc w:val="left"/>
      <w:pPr>
        <w:ind w:left="500" w:hanging="260"/>
      </w:pPr>
    </w:lvl>
    <w:lvl w:ilvl="1" w:tplc="D3203068">
      <w:numFmt w:val="decimal"/>
      <w:lvlText w:val=""/>
      <w:lvlJc w:val="left"/>
    </w:lvl>
    <w:lvl w:ilvl="2" w:tplc="6EBA60B4">
      <w:numFmt w:val="decimal"/>
      <w:lvlText w:val=""/>
      <w:lvlJc w:val="left"/>
    </w:lvl>
    <w:lvl w:ilvl="3" w:tplc="397E016C">
      <w:numFmt w:val="decimal"/>
      <w:lvlText w:val=""/>
      <w:lvlJc w:val="left"/>
    </w:lvl>
    <w:lvl w:ilvl="4" w:tplc="03ECD852">
      <w:numFmt w:val="decimal"/>
      <w:lvlText w:val=""/>
      <w:lvlJc w:val="left"/>
    </w:lvl>
    <w:lvl w:ilvl="5" w:tplc="436013A6">
      <w:numFmt w:val="decimal"/>
      <w:lvlText w:val=""/>
      <w:lvlJc w:val="left"/>
    </w:lvl>
    <w:lvl w:ilvl="6" w:tplc="179E81E6">
      <w:numFmt w:val="decimal"/>
      <w:lvlText w:val=""/>
      <w:lvlJc w:val="left"/>
    </w:lvl>
    <w:lvl w:ilvl="7" w:tplc="C4C0ADFE">
      <w:numFmt w:val="decimal"/>
      <w:lvlText w:val=""/>
      <w:lvlJc w:val="left"/>
    </w:lvl>
    <w:lvl w:ilvl="8" w:tplc="8AB27A00">
      <w:numFmt w:val="decimal"/>
      <w:lvlText w:val=""/>
      <w:lvlJc w:val="left"/>
    </w:lvl>
  </w:abstractNum>
  <w:abstractNum w:abstractNumId="1" w15:restartNumberingAfterBreak="0">
    <w:nsid w:val="7010725D"/>
    <w:multiLevelType w:val="hybridMultilevel"/>
    <w:tmpl w:val="C8447F3C"/>
    <w:lvl w:ilvl="0" w:tplc="B370512A">
      <w:start w:val="1"/>
      <w:numFmt w:val="bullet"/>
      <w:lvlText w:val="●"/>
      <w:lvlJc w:val="left"/>
      <w:pPr>
        <w:ind w:left="720" w:hanging="360"/>
      </w:pPr>
    </w:lvl>
    <w:lvl w:ilvl="1" w:tplc="0B56432A">
      <w:start w:val="1"/>
      <w:numFmt w:val="bullet"/>
      <w:lvlText w:val="○"/>
      <w:lvlJc w:val="left"/>
      <w:pPr>
        <w:ind w:left="1440" w:hanging="360"/>
      </w:pPr>
    </w:lvl>
    <w:lvl w:ilvl="2" w:tplc="032AA934">
      <w:start w:val="1"/>
      <w:numFmt w:val="bullet"/>
      <w:lvlText w:val="■"/>
      <w:lvlJc w:val="left"/>
      <w:pPr>
        <w:ind w:left="2160" w:hanging="360"/>
      </w:pPr>
    </w:lvl>
    <w:lvl w:ilvl="3" w:tplc="A98AB098">
      <w:start w:val="1"/>
      <w:numFmt w:val="bullet"/>
      <w:lvlText w:val="●"/>
      <w:lvlJc w:val="left"/>
      <w:pPr>
        <w:ind w:left="2880" w:hanging="360"/>
      </w:pPr>
    </w:lvl>
    <w:lvl w:ilvl="4" w:tplc="608A226E">
      <w:start w:val="1"/>
      <w:numFmt w:val="bullet"/>
      <w:lvlText w:val="○"/>
      <w:lvlJc w:val="left"/>
      <w:pPr>
        <w:ind w:left="3600" w:hanging="360"/>
      </w:pPr>
    </w:lvl>
    <w:lvl w:ilvl="5" w:tplc="46BE5DBC">
      <w:start w:val="1"/>
      <w:numFmt w:val="bullet"/>
      <w:lvlText w:val="■"/>
      <w:lvlJc w:val="left"/>
      <w:pPr>
        <w:ind w:left="4320" w:hanging="360"/>
      </w:pPr>
    </w:lvl>
    <w:lvl w:ilvl="6" w:tplc="881C2A1A">
      <w:start w:val="1"/>
      <w:numFmt w:val="bullet"/>
      <w:lvlText w:val="●"/>
      <w:lvlJc w:val="left"/>
      <w:pPr>
        <w:ind w:left="5040" w:hanging="360"/>
      </w:pPr>
    </w:lvl>
    <w:lvl w:ilvl="7" w:tplc="A6DCBCCE">
      <w:start w:val="1"/>
      <w:numFmt w:val="bullet"/>
      <w:lvlText w:val="●"/>
      <w:lvlJc w:val="left"/>
      <w:pPr>
        <w:ind w:left="5760" w:hanging="360"/>
      </w:pPr>
    </w:lvl>
    <w:lvl w:ilvl="8" w:tplc="A72A88CA">
      <w:start w:val="1"/>
      <w:numFmt w:val="bullet"/>
      <w:lvlText w:val="●"/>
      <w:lvlJc w:val="left"/>
      <w:pPr>
        <w:ind w:left="6480" w:hanging="360"/>
      </w:pPr>
    </w:lvl>
  </w:abstractNum>
  <w:num w:numId="1" w16cid:durableId="1117993964">
    <w:abstractNumId w:val="1"/>
    <w:lvlOverride w:ilvl="0">
      <w:startOverride w:val="1"/>
    </w:lvlOverride>
  </w:num>
  <w:num w:numId="2" w16cid:durableId="577399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465"/>
    <w:rsid w:val="0007346B"/>
    <w:rsid w:val="004C4465"/>
    <w:rsid w:val="005A6DA9"/>
    <w:rsid w:val="008B2F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F769"/>
  <w15:docId w15:val="{700BF8CF-590F-4FEB-B1D9-658EE6EB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346B"/>
    <w:pPr>
      <w:tabs>
        <w:tab w:val="center" w:pos="4252"/>
        <w:tab w:val="right" w:pos="8504"/>
      </w:tabs>
    </w:pPr>
  </w:style>
  <w:style w:type="character" w:customStyle="1" w:styleId="EncabezadoCar">
    <w:name w:val="Encabezado Car"/>
    <w:basedOn w:val="Fuentedeprrafopredeter"/>
    <w:link w:val="Encabezado"/>
    <w:uiPriority w:val="99"/>
    <w:rsid w:val="0007346B"/>
  </w:style>
  <w:style w:type="paragraph" w:styleId="Piedepgina">
    <w:name w:val="footer"/>
    <w:basedOn w:val="Normal"/>
    <w:link w:val="PiedepginaCar"/>
    <w:uiPriority w:val="99"/>
    <w:unhideWhenUsed/>
    <w:rsid w:val="0007346B"/>
    <w:pPr>
      <w:tabs>
        <w:tab w:val="center" w:pos="4252"/>
        <w:tab w:val="right" w:pos="8504"/>
      </w:tabs>
    </w:pPr>
  </w:style>
  <w:style w:type="character" w:customStyle="1" w:styleId="PiedepginaCar">
    <w:name w:val="Pie de página Car"/>
    <w:basedOn w:val="Fuentedeprrafopredeter"/>
    <w:link w:val="Piedepgina"/>
    <w:uiPriority w:val="99"/>
    <w:rsid w:val="00073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1127</Words>
  <Characters>6200</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Balderrama</cp:lastModifiedBy>
  <cp:revision>2</cp:revision>
  <dcterms:created xsi:type="dcterms:W3CDTF">2026-10-23T04:18:00Z</dcterms:created>
  <dcterms:modified xsi:type="dcterms:W3CDTF">2026-10-23T04:20:00Z</dcterms:modified>
</cp:coreProperties>
</file>