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80AEA" w14:textId="5636C849" w:rsidR="002141B2" w:rsidRPr="002141B2" w:rsidRDefault="002141B2">
      <w:pPr>
        <w:rPr>
          <w:b/>
          <w:bCs/>
          <w:sz w:val="28"/>
          <w:szCs w:val="28"/>
          <w:lang w:val="de-DE"/>
        </w:rPr>
      </w:pPr>
      <w:proofErr w:type="spellStart"/>
      <w:r w:rsidRPr="002141B2">
        <w:rPr>
          <w:b/>
          <w:bCs/>
          <w:sz w:val="28"/>
          <w:szCs w:val="28"/>
          <w:lang w:val="de-DE"/>
        </w:rPr>
        <w:t>Keeling</w:t>
      </w:r>
      <w:proofErr w:type="spellEnd"/>
      <w:r w:rsidRPr="002141B2">
        <w:rPr>
          <w:b/>
          <w:bCs/>
          <w:sz w:val="28"/>
          <w:szCs w:val="28"/>
          <w:lang w:val="de-DE"/>
        </w:rPr>
        <w:t xml:space="preserve"> Methode</w:t>
      </w:r>
    </w:p>
    <w:p w14:paraId="56885808" w14:textId="77777777" w:rsidR="002141B2" w:rsidRDefault="002141B2">
      <w:pPr>
        <w:rPr>
          <w:lang w:val="de-DE"/>
        </w:rPr>
      </w:pPr>
    </w:p>
    <w:p w14:paraId="3FB6D001" w14:textId="77777777" w:rsidR="002141B2" w:rsidRDefault="002141B2">
      <w:pPr>
        <w:rPr>
          <w:lang w:val="de-DE"/>
        </w:rPr>
      </w:pPr>
    </w:p>
    <w:p w14:paraId="123AC482" w14:textId="77777777" w:rsidR="002141B2" w:rsidRPr="002609AB" w:rsidRDefault="002141B2" w:rsidP="002141B2">
      <w:pPr>
        <w:rPr>
          <w:lang w:val="en-GB"/>
        </w:rPr>
      </w:pPr>
      <w:r w:rsidRPr="002609AB">
        <w:rPr>
          <w:lang w:val="en-GB"/>
        </w:rPr>
        <w:t>Keeling Analyse</w:t>
      </w:r>
    </w:p>
    <w:p w14:paraId="73916CE4" w14:textId="77777777" w:rsidR="002141B2" w:rsidRPr="002609AB" w:rsidRDefault="002141B2" w:rsidP="002141B2">
      <w:pPr>
        <w:rPr>
          <w:lang w:val="en-GB"/>
        </w:rPr>
      </w:pPr>
    </w:p>
    <w:p w14:paraId="2D0B537A" w14:textId="3932E881" w:rsidR="002141B2" w:rsidRPr="00781AAA" w:rsidRDefault="002141B2" w:rsidP="002141B2">
      <w:pPr>
        <w:rPr>
          <w:strike/>
          <w:lang w:val="en-GB"/>
        </w:rPr>
      </w:pPr>
      <w:r w:rsidRPr="00781AAA">
        <w:rPr>
          <w:strike/>
          <w:lang w:val="en-GB"/>
        </w:rPr>
        <w:t xml:space="preserve">It is </w:t>
      </w:r>
      <w:r w:rsidR="00781AAA" w:rsidRPr="00781AAA">
        <w:rPr>
          <w:strike/>
          <w:lang w:val="en-GB"/>
        </w:rPr>
        <w:t>essential</w:t>
      </w:r>
      <w:r w:rsidRPr="00781AAA">
        <w:rPr>
          <w:strike/>
          <w:lang w:val="en-GB"/>
        </w:rPr>
        <w:t xml:space="preserve"> to recognise that the model described by equations (1)– (3) involves two basic assumptions. First, we assume that a simple mixing of only two gas components is considered (a source S and the bulk background B). Second, we assume that the isotope ratio of these two components does not change over the course of the observation. It is rare for these two assumptions to hold true in a strict sense under natural field conditions. Rather, researchers have found appropriate points in time and space for which these assumptions are acceptable. Below we outline recommendations for minimizing error in the use of the Keeling plot for assessing the carbon isotope composition of respiration.</w:t>
      </w:r>
    </w:p>
    <w:p w14:paraId="268E317C" w14:textId="77777777" w:rsidR="002141B2" w:rsidRPr="00781AAA" w:rsidRDefault="002141B2" w:rsidP="002141B2">
      <w:pPr>
        <w:rPr>
          <w:strike/>
          <w:lang w:val="en-GB"/>
        </w:rPr>
      </w:pPr>
    </w:p>
    <w:p w14:paraId="380D246F" w14:textId="77777777" w:rsidR="002141B2" w:rsidRPr="00781AAA" w:rsidRDefault="002141B2" w:rsidP="002141B2">
      <w:pPr>
        <w:rPr>
          <w:i/>
          <w:iCs/>
          <w:strike/>
          <w:lang w:val="en-GB"/>
        </w:rPr>
      </w:pPr>
      <w:r w:rsidRPr="00781AAA">
        <w:rPr>
          <w:i/>
          <w:iCs/>
          <w:strike/>
          <w:lang w:val="en-GB"/>
        </w:rPr>
        <w:t>The application and interpretation of Keeling plots in terrestrial carbon cycle research D. E. Pataki,1</w:t>
      </w:r>
    </w:p>
    <w:p w14:paraId="6B3B8D9D" w14:textId="77777777" w:rsidR="002141B2" w:rsidRPr="00781AAA" w:rsidRDefault="002141B2" w:rsidP="002141B2">
      <w:pPr>
        <w:rPr>
          <w:i/>
          <w:iCs/>
          <w:strike/>
          <w:lang w:val="en-GB"/>
        </w:rPr>
      </w:pPr>
    </w:p>
    <w:p w14:paraId="66B4B153" w14:textId="77777777" w:rsidR="002141B2" w:rsidRPr="00781AAA" w:rsidRDefault="002141B2" w:rsidP="002141B2">
      <w:pPr>
        <w:rPr>
          <w:strike/>
          <w:lang w:val="en-GB"/>
        </w:rPr>
      </w:pPr>
      <w:hyperlink r:id="rId5" w:history="1">
        <w:r w:rsidRPr="00781AAA">
          <w:rPr>
            <w:rStyle w:val="Hyperlink"/>
            <w:strike/>
            <w:lang w:val="en-GB"/>
          </w:rPr>
          <w:t>https://reader.elsevier.com/reader/sd/pii/0016703758900334?token=0DBC685A3EE6237763F578EBF74EA09416F76D95982C2F26584893ED72DF7286314090AE33BF9CDFDD8A25F98C5C4152&amp;originRegion=eu-west-1&amp;originCreation=20230215125755</w:t>
        </w:r>
      </w:hyperlink>
    </w:p>
    <w:p w14:paraId="3D03AF91" w14:textId="77777777" w:rsidR="002141B2" w:rsidRPr="00781AAA" w:rsidRDefault="002141B2" w:rsidP="002141B2">
      <w:pPr>
        <w:rPr>
          <w:strike/>
          <w:lang w:val="en-GB"/>
        </w:rPr>
      </w:pPr>
    </w:p>
    <w:p w14:paraId="51733587" w14:textId="77777777" w:rsidR="002141B2" w:rsidRPr="00781AAA" w:rsidRDefault="002141B2" w:rsidP="002141B2">
      <w:pPr>
        <w:rPr>
          <w:strike/>
          <w:lang w:val="en-GB"/>
        </w:rPr>
      </w:pPr>
    </w:p>
    <w:p w14:paraId="4BD94C71" w14:textId="77777777" w:rsidR="002141B2" w:rsidRPr="00781AAA" w:rsidRDefault="002141B2" w:rsidP="002141B2">
      <w:pPr>
        <w:rPr>
          <w:strike/>
          <w:lang w:val="en-GB"/>
        </w:rPr>
      </w:pPr>
    </w:p>
    <w:p w14:paraId="6A566111" w14:textId="77777777" w:rsidR="002141B2" w:rsidRPr="00781AAA" w:rsidRDefault="002141B2" w:rsidP="002141B2">
      <w:pPr>
        <w:pStyle w:val="NormalWeb"/>
        <w:numPr>
          <w:ilvl w:val="0"/>
          <w:numId w:val="2"/>
        </w:numPr>
        <w:rPr>
          <w:strike/>
        </w:rPr>
      </w:pPr>
      <w:r w:rsidRPr="00781AAA">
        <w:rPr>
          <w:strike/>
        </w:rPr>
        <w:t xml:space="preserve">measured isotope ratio </w:t>
      </w:r>
    </w:p>
    <w:p w14:paraId="0ED6B719" w14:textId="77777777" w:rsidR="002141B2" w:rsidRPr="00781AAA" w:rsidRDefault="002141B2" w:rsidP="002141B2">
      <w:pPr>
        <w:pStyle w:val="ListParagraph"/>
        <w:numPr>
          <w:ilvl w:val="1"/>
          <w:numId w:val="2"/>
        </w:numPr>
        <w:rPr>
          <w:strike/>
          <w:lang w:val="en-GB"/>
        </w:rPr>
      </w:pPr>
      <w:r w:rsidRPr="00781AAA">
        <w:rPr>
          <w:rFonts w:ascii="CMMI12" w:hAnsi="CMMI12"/>
          <w:strike/>
        </w:rPr>
        <w:t>δ</w:t>
      </w:r>
      <w:r w:rsidRPr="00781AAA">
        <w:rPr>
          <w:rFonts w:ascii="CMMI12" w:hAnsi="CMMI12"/>
          <w:strike/>
          <w:lang w:val="en-US"/>
        </w:rPr>
        <w:t>X = (</w:t>
      </w:r>
      <w:proofErr w:type="spellStart"/>
      <w:r w:rsidRPr="00781AAA">
        <w:rPr>
          <w:rFonts w:ascii="CMMI12" w:hAnsi="CMMI12"/>
          <w:strike/>
          <w:lang w:val="en-US"/>
        </w:rPr>
        <w:t>R_sample</w:t>
      </w:r>
      <w:proofErr w:type="spellEnd"/>
      <w:r w:rsidRPr="00781AAA">
        <w:rPr>
          <w:rFonts w:ascii="CMMI12" w:hAnsi="CMMI12"/>
          <w:strike/>
          <w:lang w:val="en-US"/>
        </w:rPr>
        <w:t xml:space="preserve"> -</w:t>
      </w:r>
      <w:proofErr w:type="spellStart"/>
      <w:r w:rsidRPr="00781AAA">
        <w:rPr>
          <w:rFonts w:ascii="CMMI12" w:hAnsi="CMMI12"/>
          <w:strike/>
          <w:lang w:val="en-US"/>
        </w:rPr>
        <w:t>R_standard</w:t>
      </w:r>
      <w:proofErr w:type="spellEnd"/>
      <w:r w:rsidRPr="00781AAA">
        <w:rPr>
          <w:rFonts w:ascii="CMMI12" w:hAnsi="CMMI12"/>
          <w:strike/>
          <w:lang w:val="en-US"/>
        </w:rPr>
        <w:t>)/</w:t>
      </w:r>
      <w:proofErr w:type="spellStart"/>
      <w:r w:rsidRPr="00781AAA">
        <w:rPr>
          <w:rFonts w:ascii="CMMI12" w:hAnsi="CMMI12"/>
          <w:strike/>
          <w:lang w:val="en-US"/>
        </w:rPr>
        <w:t>R_standard</w:t>
      </w:r>
      <w:proofErr w:type="spellEnd"/>
    </w:p>
    <w:p w14:paraId="5E3AFF77" w14:textId="77777777" w:rsidR="002141B2" w:rsidRPr="00781AAA" w:rsidRDefault="002141B2" w:rsidP="002141B2">
      <w:pPr>
        <w:pStyle w:val="ListParagraph"/>
        <w:numPr>
          <w:ilvl w:val="1"/>
          <w:numId w:val="2"/>
        </w:numPr>
        <w:rPr>
          <w:strike/>
          <w:lang w:val="en-GB"/>
        </w:rPr>
      </w:pPr>
      <w:r w:rsidRPr="00781AAA">
        <w:rPr>
          <w:rFonts w:ascii="CMMI12" w:hAnsi="CMMI12"/>
          <w:strike/>
          <w:lang w:val="en-US"/>
        </w:rPr>
        <w:t>R ratio of light vs heavy isotope (C12/C13)</w:t>
      </w:r>
    </w:p>
    <w:p w14:paraId="186759B7" w14:textId="77777777" w:rsidR="002141B2" w:rsidRPr="00781AAA" w:rsidRDefault="002141B2" w:rsidP="002141B2">
      <w:pPr>
        <w:pStyle w:val="ListParagraph"/>
        <w:numPr>
          <w:ilvl w:val="1"/>
          <w:numId w:val="2"/>
        </w:numPr>
        <w:rPr>
          <w:strike/>
          <w:lang w:val="en-GB"/>
        </w:rPr>
      </w:pPr>
      <w:r w:rsidRPr="00781AAA">
        <w:rPr>
          <w:rFonts w:ascii="CMMI12" w:hAnsi="CMMI12" w:hint="eastAsia"/>
          <w:strike/>
        </w:rPr>
        <w:t>Δ</w:t>
      </w:r>
      <w:r w:rsidRPr="00781AAA">
        <w:rPr>
          <w:rFonts w:ascii="CMMI12" w:hAnsi="CMMI12"/>
          <w:strike/>
          <w:lang w:val="de-DE"/>
        </w:rPr>
        <w:t xml:space="preserve"> in per </w:t>
      </w:r>
      <w:proofErr w:type="spellStart"/>
      <w:r w:rsidRPr="00781AAA">
        <w:rPr>
          <w:rFonts w:ascii="CMMI12" w:hAnsi="CMMI12"/>
          <w:strike/>
          <w:lang w:val="de-DE"/>
        </w:rPr>
        <w:t>mil</w:t>
      </w:r>
      <w:proofErr w:type="spellEnd"/>
    </w:p>
    <w:p w14:paraId="4FE98105" w14:textId="77777777" w:rsidR="002141B2" w:rsidRPr="00781AAA" w:rsidRDefault="002141B2" w:rsidP="002141B2">
      <w:pPr>
        <w:pStyle w:val="NormalWeb"/>
        <w:numPr>
          <w:ilvl w:val="0"/>
          <w:numId w:val="2"/>
        </w:numPr>
        <w:rPr>
          <w:strike/>
        </w:rPr>
      </w:pPr>
      <w:r w:rsidRPr="00781AAA">
        <w:rPr>
          <w:strike/>
        </w:rPr>
        <w:t xml:space="preserve">In the isotope measurements the isotopic composition is rst determined relative to a reference gas (WS) of known isotopic composition. The isotopic ratio of the sample compared to the working standard </w:t>
      </w:r>
      <w:r w:rsidRPr="00781AAA">
        <w:rPr>
          <w:rFonts w:ascii="CMMI12" w:hAnsi="CMMI12"/>
          <w:strike/>
        </w:rPr>
        <w:t>δ</w:t>
      </w:r>
      <w:r w:rsidRPr="00781AAA">
        <w:rPr>
          <w:rFonts w:ascii="CMMI8" w:hAnsi="CMMI8"/>
          <w:strike/>
          <w:position w:val="-4"/>
          <w:sz w:val="16"/>
          <w:szCs w:val="16"/>
        </w:rPr>
        <w:t xml:space="preserve">sample/WS </w:t>
      </w:r>
      <w:r w:rsidRPr="00781AAA">
        <w:rPr>
          <w:strike/>
        </w:rPr>
        <w:t xml:space="preserve">is converted to the interna- tional isotope scale as follow: </w:t>
      </w:r>
    </w:p>
    <w:p w14:paraId="4C0777DB" w14:textId="77777777" w:rsidR="002141B2" w:rsidRPr="00781AAA" w:rsidRDefault="002141B2" w:rsidP="002141B2">
      <w:pPr>
        <w:pStyle w:val="NormalWeb"/>
        <w:ind w:left="360"/>
        <w:rPr>
          <w:strike/>
        </w:rPr>
      </w:pPr>
      <w:r w:rsidRPr="00781AAA">
        <w:rPr>
          <w:rFonts w:ascii="CMMI12" w:hAnsi="CMMI12"/>
          <w:strike/>
          <w:position w:val="4"/>
        </w:rPr>
        <w:t>δ</w:t>
      </w:r>
      <w:r w:rsidRPr="00781AAA">
        <w:rPr>
          <w:strike/>
          <w:sz w:val="16"/>
          <w:szCs w:val="16"/>
        </w:rPr>
        <w:t xml:space="preserve">sample/IS </w:t>
      </w:r>
      <w:r w:rsidRPr="00781AAA">
        <w:rPr>
          <w:rFonts w:ascii="CMR12" w:hAnsi="CMR12"/>
          <w:strike/>
          <w:position w:val="4"/>
        </w:rPr>
        <w:t xml:space="preserve">= </w:t>
      </w:r>
      <w:r w:rsidRPr="00781AAA">
        <w:rPr>
          <w:rFonts w:ascii="CMMI12" w:hAnsi="CMMI12"/>
          <w:strike/>
          <w:position w:val="4"/>
        </w:rPr>
        <w:t>δ</w:t>
      </w:r>
      <w:r w:rsidRPr="00781AAA">
        <w:rPr>
          <w:strike/>
          <w:sz w:val="16"/>
          <w:szCs w:val="16"/>
        </w:rPr>
        <w:t>WS/IS</w:t>
      </w:r>
      <w:r w:rsidRPr="00781AAA">
        <w:rPr>
          <w:rFonts w:ascii="CMMI12" w:hAnsi="CMMI12"/>
          <w:strike/>
          <w:position w:val="4"/>
        </w:rPr>
        <w:t>δ</w:t>
      </w:r>
      <w:r w:rsidRPr="00781AAA">
        <w:rPr>
          <w:strike/>
          <w:sz w:val="16"/>
          <w:szCs w:val="16"/>
        </w:rPr>
        <w:t xml:space="preserve">sample/WS </w:t>
      </w:r>
      <w:r w:rsidRPr="00781AAA">
        <w:rPr>
          <w:rFonts w:ascii="CMR12" w:hAnsi="CMR12"/>
          <w:strike/>
          <w:position w:val="4"/>
        </w:rPr>
        <w:t xml:space="preserve">+ </w:t>
      </w:r>
      <w:r w:rsidRPr="00781AAA">
        <w:rPr>
          <w:rFonts w:ascii="CMMI12" w:hAnsi="CMMI12"/>
          <w:strike/>
          <w:position w:val="4"/>
        </w:rPr>
        <w:t>δ</w:t>
      </w:r>
      <w:r w:rsidRPr="00781AAA">
        <w:rPr>
          <w:strike/>
          <w:sz w:val="16"/>
          <w:szCs w:val="16"/>
        </w:rPr>
        <w:t xml:space="preserve">WS/IS </w:t>
      </w:r>
      <w:r w:rsidRPr="00781AAA">
        <w:rPr>
          <w:rFonts w:ascii="CMR12" w:hAnsi="CMR12"/>
          <w:strike/>
          <w:position w:val="4"/>
        </w:rPr>
        <w:t xml:space="preserve">+ </w:t>
      </w:r>
      <w:r w:rsidRPr="00781AAA">
        <w:rPr>
          <w:rFonts w:ascii="CMMI12" w:hAnsi="CMMI12"/>
          <w:strike/>
          <w:position w:val="4"/>
        </w:rPr>
        <w:t>δ</w:t>
      </w:r>
      <w:r w:rsidRPr="00781AAA">
        <w:rPr>
          <w:strike/>
          <w:sz w:val="16"/>
          <w:szCs w:val="16"/>
        </w:rPr>
        <w:t xml:space="preserve">sample/WS </w:t>
      </w:r>
      <w:r w:rsidRPr="00781AAA">
        <w:rPr>
          <w:strike/>
          <w:position w:val="4"/>
        </w:rPr>
        <w:t xml:space="preserve">(2.26) </w:t>
      </w:r>
    </w:p>
    <w:p w14:paraId="558DDAA2" w14:textId="77777777" w:rsidR="002141B2" w:rsidRPr="00781AAA" w:rsidRDefault="002141B2" w:rsidP="002141B2">
      <w:pPr>
        <w:pStyle w:val="NormalWeb"/>
        <w:ind w:left="360"/>
        <w:rPr>
          <w:strike/>
        </w:rPr>
      </w:pPr>
      <w:r w:rsidRPr="00781AAA">
        <w:rPr>
          <w:strike/>
        </w:rPr>
        <w:t xml:space="preserve">The isotope values are reported versus the international reference materials VPDB for </w:t>
      </w:r>
      <w:r w:rsidRPr="00781AAA">
        <w:rPr>
          <w:rFonts w:ascii="CMMI12" w:hAnsi="CMMI12"/>
          <w:strike/>
        </w:rPr>
        <w:t>δ</w:t>
      </w:r>
      <w:r w:rsidRPr="00781AAA">
        <w:rPr>
          <w:strike/>
          <w:position w:val="8"/>
          <w:sz w:val="16"/>
          <w:szCs w:val="16"/>
        </w:rPr>
        <w:t>13</w:t>
      </w:r>
      <w:r w:rsidRPr="00781AAA">
        <w:rPr>
          <w:strike/>
        </w:rPr>
        <w:t xml:space="preserve">C and VSMOW for </w:t>
      </w:r>
      <w:r w:rsidRPr="00781AAA">
        <w:rPr>
          <w:rFonts w:ascii="CMMI12" w:hAnsi="CMMI12"/>
          <w:strike/>
        </w:rPr>
        <w:t>δ</w:t>
      </w:r>
      <w:r w:rsidRPr="00781AAA">
        <w:rPr>
          <w:strike/>
          <w:position w:val="8"/>
          <w:sz w:val="16"/>
          <w:szCs w:val="16"/>
        </w:rPr>
        <w:t>2</w:t>
      </w:r>
      <w:r w:rsidRPr="00781AAA">
        <w:rPr>
          <w:strike/>
        </w:rPr>
        <w:t xml:space="preserve">H. </w:t>
      </w:r>
    </w:p>
    <w:p w14:paraId="3E095D08" w14:textId="77777777" w:rsidR="002141B2" w:rsidRPr="00781AAA" w:rsidRDefault="002141B2" w:rsidP="002141B2">
      <w:pPr>
        <w:pStyle w:val="ListParagraph"/>
        <w:numPr>
          <w:ilvl w:val="0"/>
          <w:numId w:val="2"/>
        </w:numPr>
        <w:rPr>
          <w:strike/>
          <w:lang w:val="en-GB"/>
        </w:rPr>
      </w:pPr>
      <w:r w:rsidRPr="00781AAA">
        <w:rPr>
          <w:strike/>
          <w:lang w:val="en-GB"/>
        </w:rPr>
        <w:t>The keeling approach is a mass balance/mass Conservation approach.</w:t>
      </w:r>
    </w:p>
    <w:p w14:paraId="0842D021" w14:textId="77777777" w:rsidR="002141B2" w:rsidRPr="00781AAA" w:rsidRDefault="002141B2" w:rsidP="002141B2">
      <w:pPr>
        <w:pStyle w:val="ListParagraph"/>
        <w:numPr>
          <w:ilvl w:val="0"/>
          <w:numId w:val="2"/>
        </w:numPr>
        <w:rPr>
          <w:strike/>
          <w:lang w:val="en-GB"/>
        </w:rPr>
      </w:pPr>
      <w:r w:rsidRPr="00781AAA">
        <w:rPr>
          <w:strike/>
          <w:lang w:val="en-GB"/>
        </w:rPr>
        <w:t xml:space="preserve">Methane Concentration in ambient air is ca </w:t>
      </w:r>
    </w:p>
    <w:p w14:paraId="06373BC3" w14:textId="77777777" w:rsidR="002141B2" w:rsidRPr="00781AAA" w:rsidRDefault="002141B2" w:rsidP="002141B2">
      <w:pPr>
        <w:pStyle w:val="ListParagraph"/>
        <w:numPr>
          <w:ilvl w:val="1"/>
          <w:numId w:val="2"/>
        </w:numPr>
        <w:rPr>
          <w:strike/>
          <w:lang w:val="en-GB"/>
        </w:rPr>
      </w:pPr>
      <w:r w:rsidRPr="00781AAA">
        <w:rPr>
          <w:strike/>
          <w:lang w:val="en-GB"/>
        </w:rPr>
        <w:t xml:space="preserve">Sum of  </w:t>
      </w:r>
      <w:proofErr w:type="spellStart"/>
      <w:r w:rsidRPr="00781AAA">
        <w:rPr>
          <w:strike/>
          <w:lang w:val="en-GB"/>
        </w:rPr>
        <w:t>Methan</w:t>
      </w:r>
      <w:proofErr w:type="spellEnd"/>
      <w:r w:rsidRPr="00781AAA">
        <w:rPr>
          <w:strike/>
          <w:lang w:val="en-GB"/>
        </w:rPr>
        <w:t xml:space="preserve"> concentration in background </w:t>
      </w:r>
      <w:proofErr w:type="spellStart"/>
      <w:r w:rsidRPr="00781AAA">
        <w:rPr>
          <w:strike/>
          <w:lang w:val="en-GB"/>
        </w:rPr>
        <w:t>c</w:t>
      </w:r>
      <w:r w:rsidRPr="00781AAA">
        <w:rPr>
          <w:strike/>
          <w:vertAlign w:val="subscript"/>
          <w:lang w:val="en-GB"/>
        </w:rPr>
        <w:t>b</w:t>
      </w:r>
      <w:proofErr w:type="spellEnd"/>
      <w:r w:rsidRPr="00781AAA">
        <w:rPr>
          <w:strike/>
          <w:lang w:val="en-GB"/>
        </w:rPr>
        <w:t xml:space="preserve"> and </w:t>
      </w:r>
      <w:proofErr w:type="spellStart"/>
      <w:r w:rsidRPr="00781AAA">
        <w:rPr>
          <w:strike/>
          <w:lang w:val="en-GB"/>
        </w:rPr>
        <w:t>sorce</w:t>
      </w:r>
      <w:proofErr w:type="spellEnd"/>
      <w:r w:rsidRPr="00781AAA">
        <w:rPr>
          <w:strike/>
          <w:lang w:val="en-GB"/>
        </w:rPr>
        <w:t xml:space="preserve"> </w:t>
      </w:r>
      <w:proofErr w:type="spellStart"/>
      <w:r w:rsidRPr="00781AAA">
        <w:rPr>
          <w:strike/>
          <w:lang w:val="en-GB"/>
        </w:rPr>
        <w:t>methan</w:t>
      </w:r>
      <w:proofErr w:type="spellEnd"/>
      <w:r w:rsidRPr="00781AAA">
        <w:rPr>
          <w:strike/>
          <w:lang w:val="en-GB"/>
        </w:rPr>
        <w:t xml:space="preserve"> concentration c</w:t>
      </w:r>
      <w:r w:rsidRPr="00781AAA">
        <w:rPr>
          <w:strike/>
          <w:vertAlign w:val="subscript"/>
          <w:lang w:val="en-GB"/>
        </w:rPr>
        <w:t>s</w:t>
      </w:r>
    </w:p>
    <w:p w14:paraId="0FFC5D0B" w14:textId="77777777" w:rsidR="002141B2" w:rsidRPr="00781AAA" w:rsidRDefault="002141B2" w:rsidP="002141B2">
      <w:pPr>
        <w:pStyle w:val="ListParagraph"/>
        <w:numPr>
          <w:ilvl w:val="1"/>
          <w:numId w:val="2"/>
        </w:numPr>
        <w:rPr>
          <w:strike/>
          <w:lang w:val="en-GB"/>
        </w:rPr>
      </w:pPr>
      <w:proofErr w:type="spellStart"/>
      <w:r w:rsidRPr="00781AAA">
        <w:rPr>
          <w:strike/>
          <w:lang w:val="en-GB"/>
        </w:rPr>
        <w:t>C_a</w:t>
      </w:r>
      <w:proofErr w:type="spellEnd"/>
      <w:r w:rsidRPr="00781AAA">
        <w:rPr>
          <w:strike/>
          <w:lang w:val="en-GB"/>
        </w:rPr>
        <w:t xml:space="preserve"> = </w:t>
      </w:r>
      <w:proofErr w:type="spellStart"/>
      <w:r w:rsidRPr="00781AAA">
        <w:rPr>
          <w:strike/>
          <w:lang w:val="en-GB"/>
        </w:rPr>
        <w:t>c_b</w:t>
      </w:r>
      <w:proofErr w:type="spellEnd"/>
      <w:r w:rsidRPr="00781AAA">
        <w:rPr>
          <w:strike/>
          <w:lang w:val="en-GB"/>
        </w:rPr>
        <w:t xml:space="preserve"> + </w:t>
      </w:r>
      <w:proofErr w:type="spellStart"/>
      <w:r w:rsidRPr="00781AAA">
        <w:rPr>
          <w:strike/>
          <w:lang w:val="en-GB"/>
        </w:rPr>
        <w:t>c_s</w:t>
      </w:r>
      <w:proofErr w:type="spellEnd"/>
      <w:r w:rsidRPr="00781AAA">
        <w:rPr>
          <w:strike/>
          <w:lang w:val="en-GB"/>
        </w:rPr>
        <w:t xml:space="preserve"> </w:t>
      </w:r>
    </w:p>
    <w:p w14:paraId="5F8A211F" w14:textId="77777777" w:rsidR="002141B2" w:rsidRPr="00781AAA" w:rsidRDefault="002141B2" w:rsidP="002141B2">
      <w:pPr>
        <w:pStyle w:val="NormalWeb"/>
        <w:numPr>
          <w:ilvl w:val="0"/>
          <w:numId w:val="2"/>
        </w:numPr>
        <w:rPr>
          <w:rFonts w:asciiTheme="minorHAnsi" w:eastAsiaTheme="minorHAnsi" w:hAnsiTheme="minorHAnsi" w:cstheme="minorBidi"/>
          <w:strike/>
          <w:lang w:val="en-GB" w:eastAsia="en-US"/>
        </w:rPr>
      </w:pPr>
      <w:r w:rsidRPr="00781AAA">
        <w:rPr>
          <w:rFonts w:asciiTheme="minorHAnsi" w:eastAsiaTheme="minorHAnsi" w:hAnsiTheme="minorHAnsi" w:cstheme="minorBidi"/>
          <w:strike/>
          <w:lang w:val="en-GB" w:eastAsia="en-US"/>
        </w:rPr>
        <w:t xml:space="preserve">mass balance equation for heavy isotopes </w:t>
      </w:r>
    </w:p>
    <w:p w14:paraId="51258FF5" w14:textId="77777777" w:rsidR="002141B2" w:rsidRPr="00781AAA" w:rsidRDefault="002141B2" w:rsidP="002141B2">
      <w:pPr>
        <w:pStyle w:val="NormalWeb"/>
        <w:numPr>
          <w:ilvl w:val="1"/>
          <w:numId w:val="2"/>
        </w:numPr>
        <w:rPr>
          <w:strike/>
        </w:rPr>
      </w:pPr>
      <w:r w:rsidRPr="00781AAA">
        <w:rPr>
          <w:rFonts w:ascii="CMMI12" w:hAnsi="CMMI12"/>
          <w:strike/>
        </w:rPr>
        <w:t>δ</w:t>
      </w:r>
      <w:r w:rsidRPr="00781AAA">
        <w:rPr>
          <w:rFonts w:ascii="CMMI8" w:hAnsi="CMMI8"/>
          <w:strike/>
          <w:position w:val="-4"/>
          <w:sz w:val="16"/>
          <w:szCs w:val="16"/>
        </w:rPr>
        <w:t>a</w:t>
      </w:r>
      <w:r w:rsidRPr="00781AAA">
        <w:rPr>
          <w:rFonts w:ascii="CMMI12" w:hAnsi="CMMI12"/>
          <w:strike/>
        </w:rPr>
        <w:t>c</w:t>
      </w:r>
      <w:r w:rsidRPr="00781AAA">
        <w:rPr>
          <w:rFonts w:ascii="CMMI8" w:hAnsi="CMMI8"/>
          <w:strike/>
          <w:position w:val="-4"/>
          <w:sz w:val="16"/>
          <w:szCs w:val="16"/>
        </w:rPr>
        <w:t xml:space="preserve">a </w:t>
      </w:r>
      <w:r w:rsidRPr="00781AAA">
        <w:rPr>
          <w:rFonts w:ascii="CMR12" w:hAnsi="CMR12"/>
          <w:strike/>
        </w:rPr>
        <w:t xml:space="preserve">= </w:t>
      </w:r>
      <w:r w:rsidRPr="00781AAA">
        <w:rPr>
          <w:rFonts w:ascii="CMMI12" w:hAnsi="CMMI12"/>
          <w:strike/>
        </w:rPr>
        <w:t>δ</w:t>
      </w:r>
      <w:r w:rsidRPr="00781AAA">
        <w:rPr>
          <w:rFonts w:ascii="CMMI8" w:hAnsi="CMMI8"/>
          <w:strike/>
          <w:position w:val="-4"/>
          <w:sz w:val="16"/>
          <w:szCs w:val="16"/>
        </w:rPr>
        <w:t>b</w:t>
      </w:r>
      <w:r w:rsidRPr="00781AAA">
        <w:rPr>
          <w:rFonts w:ascii="CMMI12" w:hAnsi="CMMI12"/>
          <w:strike/>
        </w:rPr>
        <w:t>c</w:t>
      </w:r>
      <w:r w:rsidRPr="00781AAA">
        <w:rPr>
          <w:rFonts w:ascii="CMMI8" w:hAnsi="CMMI8"/>
          <w:strike/>
          <w:position w:val="-4"/>
          <w:sz w:val="16"/>
          <w:szCs w:val="16"/>
        </w:rPr>
        <w:t xml:space="preserve">b </w:t>
      </w:r>
      <w:r w:rsidRPr="00781AAA">
        <w:rPr>
          <w:rFonts w:ascii="CMR12" w:hAnsi="CMR12"/>
          <w:strike/>
        </w:rPr>
        <w:t xml:space="preserve">+ </w:t>
      </w:r>
      <w:r w:rsidRPr="00781AAA">
        <w:rPr>
          <w:rFonts w:ascii="CMMI12" w:hAnsi="CMMI12"/>
          <w:strike/>
        </w:rPr>
        <w:t>δ</w:t>
      </w:r>
      <w:r w:rsidRPr="00781AAA">
        <w:rPr>
          <w:rFonts w:ascii="CMMI8" w:hAnsi="CMMI8"/>
          <w:strike/>
          <w:position w:val="-4"/>
          <w:sz w:val="16"/>
          <w:szCs w:val="16"/>
        </w:rPr>
        <w:t>s</w:t>
      </w:r>
      <w:r w:rsidRPr="00781AAA">
        <w:rPr>
          <w:rFonts w:ascii="CMMI12" w:hAnsi="CMMI12"/>
          <w:strike/>
        </w:rPr>
        <w:t>c</w:t>
      </w:r>
      <w:r w:rsidRPr="00781AAA">
        <w:rPr>
          <w:rFonts w:ascii="CMMI8" w:hAnsi="CMMI8"/>
          <w:strike/>
          <w:position w:val="-4"/>
          <w:sz w:val="16"/>
          <w:szCs w:val="16"/>
        </w:rPr>
        <w:t>s</w:t>
      </w:r>
    </w:p>
    <w:p w14:paraId="291080D9" w14:textId="77777777" w:rsidR="002141B2" w:rsidRPr="00781AAA" w:rsidRDefault="002141B2" w:rsidP="002141B2">
      <w:pPr>
        <w:pStyle w:val="ListParagraph"/>
        <w:numPr>
          <w:ilvl w:val="0"/>
          <w:numId w:val="2"/>
        </w:numPr>
        <w:rPr>
          <w:strike/>
          <w:lang w:val="en-GB"/>
        </w:rPr>
      </w:pPr>
      <w:r w:rsidRPr="00781AAA">
        <w:rPr>
          <w:strike/>
          <w:lang w:val="en-GB"/>
        </w:rPr>
        <w:t>Combining both equations:</w:t>
      </w:r>
    </w:p>
    <w:p w14:paraId="792BCC4F" w14:textId="77777777" w:rsidR="002141B2" w:rsidRPr="00781AAA" w:rsidRDefault="002141B2" w:rsidP="002141B2">
      <w:pPr>
        <w:pStyle w:val="NormalWeb"/>
        <w:numPr>
          <w:ilvl w:val="1"/>
          <w:numId w:val="2"/>
        </w:numPr>
        <w:rPr>
          <w:strike/>
        </w:rPr>
      </w:pPr>
      <w:r w:rsidRPr="00781AAA">
        <w:rPr>
          <w:rFonts w:ascii="CMMI12" w:hAnsi="CMMI12"/>
          <w:strike/>
        </w:rPr>
        <w:t>δ</w:t>
      </w:r>
      <w:r w:rsidRPr="00781AAA">
        <w:rPr>
          <w:rFonts w:ascii="CMMI8" w:hAnsi="CMMI8"/>
          <w:strike/>
          <w:position w:val="-4"/>
          <w:sz w:val="16"/>
          <w:szCs w:val="16"/>
        </w:rPr>
        <w:t xml:space="preserve">a </w:t>
      </w:r>
      <w:r w:rsidRPr="00781AAA">
        <w:rPr>
          <w:rFonts w:ascii="CMR12" w:hAnsi="CMR12"/>
          <w:strike/>
        </w:rPr>
        <w:t>=</w:t>
      </w:r>
      <w:proofErr w:type="spellStart"/>
      <w:r w:rsidRPr="00781AAA">
        <w:rPr>
          <w:rFonts w:ascii="CMR12" w:hAnsi="CMR12"/>
          <w:strike/>
          <w:lang w:val="en-US"/>
        </w:rPr>
        <w:t>c_b</w:t>
      </w:r>
      <w:proofErr w:type="spellEnd"/>
      <w:r w:rsidRPr="00781AAA">
        <w:rPr>
          <w:rFonts w:ascii="CMR12" w:hAnsi="CMR12"/>
          <w:strike/>
          <w:lang w:val="en-US"/>
        </w:rPr>
        <w:t>/</w:t>
      </w:r>
      <w:proofErr w:type="spellStart"/>
      <w:r w:rsidRPr="00781AAA">
        <w:rPr>
          <w:rFonts w:ascii="CMR12" w:hAnsi="CMR12"/>
          <w:strike/>
          <w:lang w:val="en-US"/>
        </w:rPr>
        <w:t>c_a</w:t>
      </w:r>
      <w:proofErr w:type="spellEnd"/>
      <w:r w:rsidRPr="00781AAA">
        <w:rPr>
          <w:rFonts w:ascii="CMR12" w:hAnsi="CMR12"/>
          <w:strike/>
          <w:lang w:val="en-US"/>
        </w:rPr>
        <w:t xml:space="preserve"> </w:t>
      </w:r>
      <w:r w:rsidRPr="00781AAA">
        <w:rPr>
          <w:rFonts w:ascii="CMR12" w:hAnsi="CMR12"/>
          <w:strike/>
        </w:rPr>
        <w:t>(</w:t>
      </w:r>
      <w:r w:rsidRPr="00781AAA">
        <w:rPr>
          <w:rFonts w:ascii="CMMI12" w:hAnsi="CMMI12"/>
          <w:strike/>
        </w:rPr>
        <w:t>δ</w:t>
      </w:r>
      <w:r w:rsidRPr="00781AAA">
        <w:rPr>
          <w:rFonts w:ascii="CMMI8" w:hAnsi="CMMI8"/>
          <w:strike/>
          <w:position w:val="-4"/>
          <w:sz w:val="16"/>
          <w:szCs w:val="16"/>
        </w:rPr>
        <w:t xml:space="preserve">b </w:t>
      </w:r>
      <w:r w:rsidRPr="00781AAA">
        <w:rPr>
          <w:rFonts w:ascii="CMSY10" w:hAnsi="CMSY10"/>
          <w:strike/>
        </w:rPr>
        <w:t>−</w:t>
      </w:r>
      <w:r w:rsidRPr="00781AAA">
        <w:rPr>
          <w:rFonts w:ascii="CMMI12" w:hAnsi="CMMI12"/>
          <w:strike/>
        </w:rPr>
        <w:t>δ</w:t>
      </w:r>
      <w:r w:rsidRPr="00781AAA">
        <w:rPr>
          <w:rFonts w:ascii="CMMI8" w:hAnsi="CMMI8"/>
          <w:strike/>
          <w:position w:val="-4"/>
          <w:sz w:val="16"/>
          <w:szCs w:val="16"/>
        </w:rPr>
        <w:t>s</w:t>
      </w:r>
      <w:r w:rsidRPr="00781AAA">
        <w:rPr>
          <w:rFonts w:ascii="CMR12" w:hAnsi="CMR12"/>
          <w:strike/>
        </w:rPr>
        <w:t>)+</w:t>
      </w:r>
      <w:r w:rsidRPr="00781AAA">
        <w:rPr>
          <w:rFonts w:ascii="CMMI12" w:hAnsi="CMMI12"/>
          <w:strike/>
        </w:rPr>
        <w:t>δ</w:t>
      </w:r>
      <w:r w:rsidRPr="00781AAA">
        <w:rPr>
          <w:rFonts w:ascii="CMMI8" w:hAnsi="CMMI8"/>
          <w:strike/>
          <w:position w:val="-4"/>
          <w:sz w:val="16"/>
          <w:szCs w:val="16"/>
        </w:rPr>
        <w:t xml:space="preserve">s </w:t>
      </w:r>
    </w:p>
    <w:p w14:paraId="2049FDD8" w14:textId="77777777" w:rsidR="002141B2" w:rsidRPr="00781AAA" w:rsidRDefault="002141B2" w:rsidP="002141B2">
      <w:pPr>
        <w:pStyle w:val="NormalWeb"/>
        <w:numPr>
          <w:ilvl w:val="0"/>
          <w:numId w:val="2"/>
        </w:numPr>
        <w:rPr>
          <w:strike/>
        </w:rPr>
      </w:pPr>
      <w:r w:rsidRPr="00781AAA">
        <w:rPr>
          <w:rFonts w:ascii="CMMI12" w:hAnsi="CMMI12"/>
          <w:strike/>
        </w:rPr>
        <w:lastRenderedPageBreak/>
        <w:t>δ</w:t>
      </w:r>
      <w:r w:rsidRPr="00781AAA">
        <w:rPr>
          <w:rFonts w:ascii="CMMI12" w:hAnsi="CMMI12"/>
          <w:strike/>
          <w:lang w:val="de-DE"/>
        </w:rPr>
        <w:t xml:space="preserve"> = </w:t>
      </w:r>
      <w:r w:rsidRPr="00781AAA">
        <w:rPr>
          <w:strike/>
        </w:rPr>
        <w:t xml:space="preserve">isotopic ratio </w:t>
      </w:r>
    </w:p>
    <w:p w14:paraId="519C06C8" w14:textId="77777777" w:rsidR="002141B2" w:rsidRPr="00781AAA" w:rsidRDefault="002141B2" w:rsidP="002141B2">
      <w:pPr>
        <w:pStyle w:val="ListParagraph"/>
        <w:numPr>
          <w:ilvl w:val="0"/>
          <w:numId w:val="2"/>
        </w:numPr>
        <w:rPr>
          <w:strike/>
          <w:lang w:val="en-GB"/>
        </w:rPr>
      </w:pPr>
      <w:r w:rsidRPr="00781AAA">
        <w:rPr>
          <w:rFonts w:ascii="CMMI12" w:hAnsi="CMMI12"/>
          <w:strike/>
        </w:rPr>
        <w:t>c</w:t>
      </w:r>
      <w:r w:rsidRPr="00781AAA">
        <w:rPr>
          <w:rFonts w:ascii="CMMI12" w:hAnsi="CMMI12"/>
          <w:strike/>
          <w:lang w:val="de-DE"/>
        </w:rPr>
        <w:t xml:space="preserve"> = </w:t>
      </w:r>
      <w:proofErr w:type="spellStart"/>
      <w:r w:rsidRPr="00781AAA">
        <w:rPr>
          <w:rFonts w:ascii="CMMI12" w:hAnsi="CMMI12"/>
          <w:strike/>
          <w:lang w:val="de-DE"/>
        </w:rPr>
        <w:t>concentration</w:t>
      </w:r>
      <w:proofErr w:type="spellEnd"/>
    </w:p>
    <w:p w14:paraId="69BD1326" w14:textId="77777777" w:rsidR="002141B2" w:rsidRPr="00781AAA" w:rsidRDefault="002141B2" w:rsidP="002141B2">
      <w:pPr>
        <w:pStyle w:val="NormalWeb"/>
        <w:numPr>
          <w:ilvl w:val="0"/>
          <w:numId w:val="2"/>
        </w:numPr>
        <w:rPr>
          <w:strike/>
        </w:rPr>
      </w:pPr>
      <w:r w:rsidRPr="00781AAA">
        <w:rPr>
          <w:strike/>
        </w:rPr>
        <w:t xml:space="preserve">multiple possible sources </w:t>
      </w:r>
      <w:r w:rsidRPr="00781AAA">
        <w:rPr>
          <w:rFonts w:ascii="CMMI12" w:hAnsi="CMMI12"/>
          <w:strike/>
        </w:rPr>
        <w:t>δ</w:t>
      </w:r>
      <w:r w:rsidRPr="00781AAA">
        <w:rPr>
          <w:rFonts w:ascii="CMMI8" w:hAnsi="CMMI8"/>
          <w:strike/>
          <w:position w:val="-4"/>
          <w:sz w:val="16"/>
          <w:szCs w:val="16"/>
        </w:rPr>
        <w:t xml:space="preserve">s </w:t>
      </w:r>
      <w:r w:rsidRPr="00781AAA">
        <w:rPr>
          <w:strike/>
        </w:rPr>
        <w:t xml:space="preserve">is a source emissions weighted mean isotopic signature </w:t>
      </w:r>
    </w:p>
    <w:p w14:paraId="1594999C" w14:textId="77777777" w:rsidR="002141B2" w:rsidRPr="00781AAA" w:rsidRDefault="002141B2" w:rsidP="002141B2">
      <w:pPr>
        <w:pStyle w:val="NormalWeb"/>
        <w:numPr>
          <w:ilvl w:val="0"/>
          <w:numId w:val="2"/>
        </w:numPr>
        <w:rPr>
          <w:strike/>
        </w:rPr>
      </w:pPr>
      <w:r w:rsidRPr="00781AAA">
        <w:rPr>
          <w:strike/>
          <w:lang w:val="en-US"/>
        </w:rPr>
        <w:t xml:space="preserve">Equation is a </w:t>
      </w:r>
      <w:proofErr w:type="spellStart"/>
      <w:r w:rsidRPr="00781AAA">
        <w:rPr>
          <w:strike/>
          <w:lang w:val="en-US"/>
        </w:rPr>
        <w:t>linerare</w:t>
      </w:r>
      <w:proofErr w:type="spellEnd"/>
      <w:r w:rsidRPr="00781AAA">
        <w:rPr>
          <w:strike/>
          <w:lang w:val="en-US"/>
        </w:rPr>
        <w:t xml:space="preserve"> correlation of </w:t>
      </w:r>
      <w:proofErr w:type="spellStart"/>
      <w:r w:rsidRPr="00781AAA">
        <w:rPr>
          <w:strike/>
          <w:lang w:val="en-US"/>
        </w:rPr>
        <w:t>δa</w:t>
      </w:r>
      <w:proofErr w:type="spellEnd"/>
      <w:r w:rsidRPr="00781AAA">
        <w:rPr>
          <w:strike/>
          <w:lang w:val="en-US"/>
        </w:rPr>
        <w:t xml:space="preserve"> and 1/</w:t>
      </w:r>
      <w:proofErr w:type="spellStart"/>
      <w:r w:rsidRPr="00781AAA">
        <w:rPr>
          <w:strike/>
          <w:lang w:val="en-US"/>
        </w:rPr>
        <w:t>c_a</w:t>
      </w:r>
      <w:proofErr w:type="spellEnd"/>
    </w:p>
    <w:p w14:paraId="00D5B25E" w14:textId="77777777" w:rsidR="002141B2" w:rsidRPr="00781AAA" w:rsidRDefault="002141B2" w:rsidP="002141B2">
      <w:pPr>
        <w:pStyle w:val="NormalWeb"/>
        <w:numPr>
          <w:ilvl w:val="0"/>
          <w:numId w:val="2"/>
        </w:numPr>
        <w:rPr>
          <w:strike/>
        </w:rPr>
      </w:pPr>
      <w:r w:rsidRPr="00781AAA">
        <w:rPr>
          <w:strike/>
          <w:lang w:val="en-US"/>
        </w:rPr>
        <w:t>Y intersect is the isotopic signature of the source</w:t>
      </w:r>
    </w:p>
    <w:p w14:paraId="21287892" w14:textId="77777777" w:rsidR="002141B2" w:rsidRPr="00781AAA" w:rsidRDefault="002141B2" w:rsidP="002141B2">
      <w:pPr>
        <w:pStyle w:val="NormalWeb"/>
        <w:numPr>
          <w:ilvl w:val="0"/>
          <w:numId w:val="2"/>
        </w:numPr>
        <w:rPr>
          <w:strike/>
        </w:rPr>
      </w:pPr>
      <w:r w:rsidRPr="00781AAA">
        <w:rPr>
          <w:strike/>
          <w:lang w:val="en-US"/>
        </w:rPr>
        <w:t>With knowledge of the isotopic content of methane of an air sample and its concentration it is possible to calculate the isotopic signature C13 and H2</w:t>
      </w:r>
    </w:p>
    <w:p w14:paraId="28A64A44" w14:textId="77777777" w:rsidR="002141B2" w:rsidRPr="00781AAA" w:rsidRDefault="002141B2" w:rsidP="002141B2">
      <w:pPr>
        <w:pStyle w:val="NormalWeb"/>
        <w:numPr>
          <w:ilvl w:val="1"/>
          <w:numId w:val="2"/>
        </w:numPr>
        <w:rPr>
          <w:strike/>
        </w:rPr>
      </w:pPr>
      <w:r w:rsidRPr="00781AAA">
        <w:rPr>
          <w:strike/>
          <w:lang w:val="en-US"/>
        </w:rPr>
        <w:t xml:space="preserve">Compare the </w:t>
      </w:r>
      <w:proofErr w:type="spellStart"/>
      <w:r w:rsidRPr="00781AAA">
        <w:rPr>
          <w:strike/>
          <w:lang w:val="en-US"/>
        </w:rPr>
        <w:t>signiture</w:t>
      </w:r>
      <w:proofErr w:type="spellEnd"/>
      <w:r w:rsidRPr="00781AAA">
        <w:rPr>
          <w:strike/>
          <w:lang w:val="en-US"/>
        </w:rPr>
        <w:t xml:space="preserve"> to literature and identify its </w:t>
      </w:r>
      <w:proofErr w:type="spellStart"/>
      <w:r w:rsidRPr="00781AAA">
        <w:rPr>
          <w:strike/>
          <w:lang w:val="en-US"/>
        </w:rPr>
        <w:t>sorce</w:t>
      </w:r>
      <w:proofErr w:type="spellEnd"/>
    </w:p>
    <w:p w14:paraId="0E7BCDCA" w14:textId="77777777" w:rsidR="002141B2" w:rsidRPr="00781AAA" w:rsidRDefault="002141B2" w:rsidP="002141B2">
      <w:pPr>
        <w:pStyle w:val="NormalWeb"/>
        <w:numPr>
          <w:ilvl w:val="0"/>
          <w:numId w:val="2"/>
        </w:numPr>
        <w:rPr>
          <w:strike/>
        </w:rPr>
      </w:pPr>
      <w:r w:rsidRPr="00781AAA">
        <w:rPr>
          <w:strike/>
          <w:lang w:val="de-DE"/>
        </w:rPr>
        <w:t>Plot:</w:t>
      </w:r>
    </w:p>
    <w:p w14:paraId="3E926742" w14:textId="77777777" w:rsidR="002141B2" w:rsidRPr="00781AAA" w:rsidRDefault="002141B2" w:rsidP="002141B2">
      <w:pPr>
        <w:pStyle w:val="NormalWeb"/>
        <w:numPr>
          <w:ilvl w:val="1"/>
          <w:numId w:val="2"/>
        </w:numPr>
        <w:rPr>
          <w:strike/>
        </w:rPr>
      </w:pPr>
      <w:r w:rsidRPr="00781AAA">
        <w:rPr>
          <w:strike/>
        </w:rPr>
        <w:t xml:space="preserve">orthogonal distance regression approach </w:t>
      </w:r>
    </w:p>
    <w:p w14:paraId="119018E6" w14:textId="77777777" w:rsidR="002141B2" w:rsidRPr="00781AAA" w:rsidRDefault="002141B2" w:rsidP="002141B2">
      <w:pPr>
        <w:pStyle w:val="NormalWeb"/>
        <w:numPr>
          <w:ilvl w:val="1"/>
          <w:numId w:val="2"/>
        </w:numPr>
        <w:rPr>
          <w:strike/>
        </w:rPr>
      </w:pPr>
      <w:r w:rsidRPr="00781AAA">
        <w:rPr>
          <w:strike/>
          <w:lang w:val="en-US"/>
        </w:rPr>
        <w:t>signature for C13 and H2</w:t>
      </w:r>
    </w:p>
    <w:p w14:paraId="6017D71D" w14:textId="77777777" w:rsidR="002141B2" w:rsidRPr="00623FD1" w:rsidRDefault="002141B2" w:rsidP="002141B2">
      <w:pPr>
        <w:pStyle w:val="ListParagraph"/>
        <w:numPr>
          <w:ilvl w:val="0"/>
          <w:numId w:val="2"/>
        </w:numPr>
        <w:rPr>
          <w:lang w:val="en-GB"/>
        </w:rPr>
      </w:pPr>
      <w:r w:rsidRPr="00623FD1">
        <w:rPr>
          <w:lang w:val="en-GB"/>
        </w:rPr>
        <w:br w:type="page"/>
      </w:r>
    </w:p>
    <w:p w14:paraId="0CB8AE9E" w14:textId="77777777" w:rsidR="002141B2" w:rsidRDefault="002141B2">
      <w:pPr>
        <w:rPr>
          <w:lang w:val="de-DE"/>
        </w:rPr>
      </w:pPr>
    </w:p>
    <w:p w14:paraId="071E69E7" w14:textId="77777777" w:rsidR="002141B2" w:rsidRDefault="002141B2">
      <w:pPr>
        <w:rPr>
          <w:lang w:val="de-DE"/>
        </w:rPr>
      </w:pPr>
    </w:p>
    <w:p w14:paraId="453932A0" w14:textId="77777777" w:rsidR="002141B2" w:rsidRPr="002141B2" w:rsidRDefault="002141B2" w:rsidP="002141B2">
      <w:pPr>
        <w:pStyle w:val="ListParagraph"/>
        <w:numPr>
          <w:ilvl w:val="1"/>
          <w:numId w:val="1"/>
        </w:numPr>
        <w:outlineLvl w:val="0"/>
        <w:rPr>
          <w:rFonts w:ascii="Arial" w:hAnsi="Arial" w:cs="Arial"/>
          <w:b/>
          <w:bCs/>
          <w:strike/>
          <w:color w:val="222222"/>
          <w:sz w:val="32"/>
          <w:szCs w:val="32"/>
          <w:shd w:val="clear" w:color="auto" w:fill="FFFFFF"/>
          <w:lang w:val="en-GB"/>
        </w:rPr>
      </w:pPr>
      <w:bookmarkStart w:id="0" w:name="_Toc132279023"/>
      <w:r w:rsidRPr="002141B2">
        <w:rPr>
          <w:rFonts w:ascii="Arial" w:hAnsi="Arial" w:cs="Arial"/>
          <w:b/>
          <w:bCs/>
          <w:strike/>
          <w:color w:val="222222"/>
          <w:sz w:val="32"/>
          <w:szCs w:val="32"/>
          <w:shd w:val="clear" w:color="auto" w:fill="FFFFFF"/>
          <w:lang w:val="en-GB"/>
        </w:rPr>
        <w:t>The Keeling method</w:t>
      </w:r>
      <w:bookmarkEnd w:id="0"/>
    </w:p>
    <w:p w14:paraId="3E57EAA2" w14:textId="77777777" w:rsidR="002141B2" w:rsidRPr="002141B2" w:rsidRDefault="002141B2" w:rsidP="002141B2">
      <w:pPr>
        <w:rPr>
          <w:rFonts w:ascii="Arial" w:hAnsi="Arial" w:cs="Arial"/>
          <w:strike/>
          <w:color w:val="222222"/>
          <w:shd w:val="clear" w:color="auto" w:fill="FFFFFF"/>
          <w:lang w:val="en-GB"/>
        </w:rPr>
      </w:pPr>
      <w:r w:rsidRPr="002141B2">
        <w:rPr>
          <w:rFonts w:ascii="Arial" w:hAnsi="Arial" w:cs="Arial"/>
          <w:strike/>
          <w:color w:val="222222"/>
          <w:shd w:val="clear" w:color="auto" w:fill="FFFFFF"/>
          <w:lang w:val="en-GB"/>
        </w:rPr>
        <w:t xml:space="preserve">Using the Keeling method, the methane origin sources have been estimated. While investigating the entire timeline. The indicated production mechanisms of methane are thermogenic and microbial CO2 reduction. In particular, wetland, agriculture, and waste. Fossil fuel and other anthropogenic sources play a minor role in the composition of the methane mixture. This is surprising as Hamburg has a significant amount of Heavy industry, including fossil fuel refinery, chemical industry, shipping, energy production etc. On the other hand, this is expected, as the surrounding Countryside has significant ecocultural use, including cattle farmers and large wetland and marshland areas nearby. This also includes the </w:t>
      </w:r>
      <w:r w:rsidRPr="002141B2">
        <w:rPr>
          <w:rFonts w:ascii="Arial" w:hAnsi="Arial" w:cs="Arial"/>
          <w:strike/>
          <w:color w:val="222222"/>
          <w:highlight w:val="yellow"/>
          <w:shd w:val="clear" w:color="auto" w:fill="FFFFFF"/>
          <w:lang w:val="en-GB"/>
        </w:rPr>
        <w:t>vast</w:t>
      </w:r>
      <w:r w:rsidRPr="002141B2">
        <w:rPr>
          <w:rFonts w:ascii="Arial" w:hAnsi="Arial" w:cs="Arial"/>
          <w:strike/>
          <w:color w:val="222222"/>
          <w:shd w:val="clear" w:color="auto" w:fill="FFFFFF"/>
          <w:lang w:val="en-GB"/>
        </w:rPr>
        <w:t xml:space="preserve"> </w:t>
      </w:r>
      <w:proofErr w:type="spellStart"/>
      <w:r w:rsidRPr="002141B2">
        <w:rPr>
          <w:rFonts w:ascii="Arial" w:hAnsi="Arial" w:cs="Arial"/>
          <w:strike/>
          <w:color w:val="222222"/>
          <w:shd w:val="clear" w:color="auto" w:fill="FFFFFF"/>
          <w:lang w:val="en-GB"/>
        </w:rPr>
        <w:t>Wadden</w:t>
      </w:r>
      <w:proofErr w:type="spellEnd"/>
      <w:r w:rsidRPr="002141B2">
        <w:rPr>
          <w:rFonts w:ascii="Arial" w:hAnsi="Arial" w:cs="Arial"/>
          <w:strike/>
          <w:color w:val="222222"/>
          <w:shd w:val="clear" w:color="auto" w:fill="FFFFFF"/>
          <w:lang w:val="en-GB"/>
        </w:rPr>
        <w:t xml:space="preserve"> Sea of the German bight near the city. This </w:t>
      </w:r>
      <w:proofErr w:type="spellStart"/>
      <w:r w:rsidRPr="002141B2">
        <w:rPr>
          <w:rFonts w:ascii="Arial" w:hAnsi="Arial" w:cs="Arial"/>
          <w:strike/>
          <w:color w:val="222222"/>
          <w:shd w:val="clear" w:color="auto" w:fill="FFFFFF"/>
          <w:lang w:val="en-GB"/>
        </w:rPr>
        <w:t>Wadden</w:t>
      </w:r>
      <w:proofErr w:type="spellEnd"/>
      <w:r w:rsidRPr="002141B2">
        <w:rPr>
          <w:rFonts w:ascii="Arial" w:hAnsi="Arial" w:cs="Arial"/>
          <w:strike/>
          <w:color w:val="222222"/>
          <w:shd w:val="clear" w:color="auto" w:fill="FFFFFF"/>
          <w:lang w:val="en-GB"/>
        </w:rPr>
        <w:t xml:space="preserve"> Sea region lay upwind in the dominant wind direction to the west.</w:t>
      </w:r>
    </w:p>
    <w:p w14:paraId="4DD11FC5" w14:textId="77777777" w:rsidR="002141B2" w:rsidRPr="002141B2" w:rsidRDefault="002141B2" w:rsidP="002141B2">
      <w:pPr>
        <w:rPr>
          <w:rFonts w:ascii="Arial" w:hAnsi="Arial" w:cs="Arial"/>
          <w:strike/>
          <w:color w:val="222222"/>
          <w:shd w:val="clear" w:color="auto" w:fill="FFFFFF"/>
          <w:lang w:val="en-GB"/>
        </w:rPr>
      </w:pPr>
    </w:p>
    <w:p w14:paraId="6ABC9704" w14:textId="77777777" w:rsidR="002141B2" w:rsidRPr="002141B2" w:rsidRDefault="002141B2" w:rsidP="002141B2">
      <w:pPr>
        <w:rPr>
          <w:rFonts w:ascii="Arial" w:hAnsi="Arial" w:cs="Arial"/>
          <w:strike/>
          <w:color w:val="222222"/>
          <w:shd w:val="clear" w:color="auto" w:fill="FFFFFF"/>
          <w:lang w:val="en-GB"/>
        </w:rPr>
      </w:pPr>
      <w:r w:rsidRPr="002141B2">
        <w:rPr>
          <w:rFonts w:ascii="Arial" w:hAnsi="Arial" w:cs="Arial"/>
          <w:strike/>
          <w:color w:val="222222"/>
          <w:shd w:val="clear" w:color="auto" w:fill="FFFFFF"/>
          <w:lang w:val="en-GB"/>
        </w:rPr>
        <w:t>When applying the Peak finding algorithms to the methane measurements data. The Keeling method indicates methane production mechanisms much clearer in the Microbial CO2 reduction region and less in the Thermogenic, shifting this more clearly into the Wetland region, while less likely to originate from waste and agriculture. The Keeling method points toward the origin of the methane peaks due to biogenic mechanisms in the river Elbe, its contributors and the wetlands at its riverbanks.</w:t>
      </w:r>
    </w:p>
    <w:p w14:paraId="5FFA551C" w14:textId="77777777" w:rsidR="002141B2" w:rsidRPr="002141B2" w:rsidRDefault="002141B2" w:rsidP="002141B2">
      <w:pPr>
        <w:rPr>
          <w:rFonts w:ascii="Arial" w:hAnsi="Arial" w:cs="Arial"/>
          <w:strike/>
          <w:color w:val="222222"/>
          <w:shd w:val="clear" w:color="auto" w:fill="FFFFFF"/>
          <w:lang w:val="en-GB"/>
        </w:rPr>
      </w:pPr>
    </w:p>
    <w:p w14:paraId="219FF927" w14:textId="77777777" w:rsidR="002141B2" w:rsidRPr="002141B2" w:rsidRDefault="002141B2" w:rsidP="002141B2">
      <w:pPr>
        <w:rPr>
          <w:rFonts w:ascii="Arial" w:hAnsi="Arial" w:cs="Arial"/>
          <w:strike/>
          <w:color w:val="222222"/>
          <w:shd w:val="clear" w:color="auto" w:fill="FFFFFF"/>
          <w:lang w:val="en-GB"/>
        </w:rPr>
      </w:pPr>
    </w:p>
    <w:p w14:paraId="112608D0" w14:textId="77777777" w:rsidR="002141B2" w:rsidRPr="002141B2" w:rsidRDefault="002141B2" w:rsidP="002141B2">
      <w:pPr>
        <w:rPr>
          <w:rFonts w:ascii="Arial" w:hAnsi="Arial" w:cs="Arial"/>
          <w:strike/>
          <w:color w:val="222222"/>
          <w:shd w:val="clear" w:color="auto" w:fill="FFFFFF"/>
          <w:lang w:val="en-GB"/>
        </w:rPr>
      </w:pPr>
    </w:p>
    <w:p w14:paraId="7B2CDD83" w14:textId="77777777" w:rsidR="002141B2" w:rsidRPr="002141B2" w:rsidRDefault="002141B2" w:rsidP="002141B2">
      <w:pPr>
        <w:rPr>
          <w:rFonts w:ascii="Arial" w:hAnsi="Arial" w:cs="Arial"/>
          <w:strike/>
          <w:color w:val="222222"/>
          <w:shd w:val="clear" w:color="auto" w:fill="FFFFFF"/>
          <w:lang w:val="en-GB"/>
        </w:rPr>
      </w:pPr>
      <w:r w:rsidRPr="002141B2">
        <w:rPr>
          <w:rFonts w:ascii="Arial" w:hAnsi="Arial" w:cs="Arial"/>
          <w:strike/>
          <w:color w:val="222222"/>
          <w:shd w:val="clear" w:color="auto" w:fill="FFFFFF"/>
          <w:lang w:val="en-GB"/>
        </w:rPr>
        <w:t xml:space="preserve">By using the Wind direction, it is possible to take an even closer look at the methane emission type depending on its estimated origin location/direction. In the dual isotope plot </w:t>
      </w:r>
      <w:r w:rsidRPr="002141B2">
        <w:rPr>
          <w:rFonts w:ascii="Arial" w:hAnsi="Arial" w:cs="Arial"/>
          <w:i/>
          <w:iCs/>
          <w:strike/>
          <w:color w:val="222222"/>
          <w:shd w:val="clear" w:color="auto" w:fill="FFFFFF"/>
          <w:lang w:val="en-GB"/>
        </w:rPr>
        <w:t>12_Keeling_Wind.png,</w:t>
      </w:r>
      <w:r w:rsidRPr="002141B2">
        <w:rPr>
          <w:rFonts w:ascii="Arial" w:hAnsi="Arial" w:cs="Arial"/>
          <w:strike/>
          <w:color w:val="222222"/>
          <w:shd w:val="clear" w:color="auto" w:fill="FFFFFF"/>
          <w:lang w:val="en-GB"/>
        </w:rPr>
        <w:t xml:space="preserve"> one can identify a difference in isotope signature and origin type by the wind direction. For the total measurement series, one can see that the signature shifts to the abiotic production type for general northern wind directions, hence towards fossil fuels and other anthropogenic sources. As in this region, considerably fewer wetlands are present, and many residential areas lay there, one can assume that this shifts the methane mixture towards the fossil fuels. Probably unburned methane from heating and cooking, leakage in the Gas grid and energy generation plays a significant role in the composition of the </w:t>
      </w:r>
      <w:proofErr w:type="spellStart"/>
      <w:r w:rsidRPr="002141B2">
        <w:rPr>
          <w:rFonts w:ascii="Arial" w:hAnsi="Arial" w:cs="Arial"/>
          <w:strike/>
          <w:color w:val="222222"/>
          <w:shd w:val="clear" w:color="auto" w:fill="FFFFFF"/>
          <w:lang w:val="en-GB"/>
        </w:rPr>
        <w:t>Methan</w:t>
      </w:r>
      <w:proofErr w:type="spellEnd"/>
      <w:r w:rsidRPr="002141B2">
        <w:rPr>
          <w:rFonts w:ascii="Arial" w:hAnsi="Arial" w:cs="Arial"/>
          <w:strike/>
          <w:color w:val="222222"/>
          <w:shd w:val="clear" w:color="auto" w:fill="FFFFFF"/>
          <w:lang w:val="en-GB"/>
        </w:rPr>
        <w:t xml:space="preserve"> mixture.</w:t>
      </w:r>
    </w:p>
    <w:p w14:paraId="033AF583" w14:textId="77777777" w:rsidR="002141B2" w:rsidRPr="002141B2" w:rsidRDefault="002141B2" w:rsidP="002141B2">
      <w:pPr>
        <w:rPr>
          <w:rFonts w:ascii="Arial" w:hAnsi="Arial" w:cs="Arial"/>
          <w:strike/>
          <w:color w:val="222222"/>
          <w:shd w:val="clear" w:color="auto" w:fill="FFFFFF"/>
          <w:lang w:val="en-GB"/>
        </w:rPr>
      </w:pPr>
      <w:r w:rsidRPr="002141B2">
        <w:rPr>
          <w:rFonts w:ascii="Arial" w:hAnsi="Arial" w:cs="Arial"/>
          <w:strike/>
          <w:color w:val="222222"/>
          <w:shd w:val="clear" w:color="auto" w:fill="FFFFFF"/>
          <w:lang w:val="en-GB"/>
        </w:rPr>
        <w:t xml:space="preserve">For the southern and western directions, the </w:t>
      </w:r>
      <w:proofErr w:type="spellStart"/>
      <w:r w:rsidRPr="002141B2">
        <w:rPr>
          <w:rFonts w:ascii="Arial" w:hAnsi="Arial" w:cs="Arial"/>
          <w:strike/>
          <w:color w:val="222222"/>
          <w:shd w:val="clear" w:color="auto" w:fill="FFFFFF"/>
          <w:lang w:val="en-GB"/>
        </w:rPr>
        <w:t>Methan</w:t>
      </w:r>
      <w:proofErr w:type="spellEnd"/>
      <w:r w:rsidRPr="002141B2">
        <w:rPr>
          <w:rFonts w:ascii="Arial" w:hAnsi="Arial" w:cs="Arial"/>
          <w:strike/>
          <w:color w:val="222222"/>
          <w:shd w:val="clear" w:color="auto" w:fill="FFFFFF"/>
          <w:lang w:val="en-GB"/>
        </w:rPr>
        <w:t xml:space="preserve"> signature is quite strong in the microbial CO2 reduction region, pointing out that the largest contributors to this </w:t>
      </w:r>
      <w:proofErr w:type="spellStart"/>
      <w:r w:rsidRPr="002141B2">
        <w:rPr>
          <w:rFonts w:ascii="Arial" w:hAnsi="Arial" w:cs="Arial"/>
          <w:strike/>
          <w:color w:val="222222"/>
          <w:shd w:val="clear" w:color="auto" w:fill="FFFFFF"/>
          <w:lang w:val="en-GB"/>
        </w:rPr>
        <w:t>Methan</w:t>
      </w:r>
      <w:proofErr w:type="spellEnd"/>
      <w:r w:rsidRPr="002141B2">
        <w:rPr>
          <w:rFonts w:ascii="Arial" w:hAnsi="Arial" w:cs="Arial"/>
          <w:strike/>
          <w:color w:val="222222"/>
          <w:shd w:val="clear" w:color="auto" w:fill="FFFFFF"/>
          <w:lang w:val="en-GB"/>
        </w:rPr>
        <w:t xml:space="preserve"> mixture are wetlands, Agriculture and Waste. While</w:t>
      </w:r>
      <w:r w:rsidRPr="002141B2">
        <w:rPr>
          <w:rFonts w:ascii="Arial" w:hAnsi="Arial" w:cs="Arial"/>
          <w:strike/>
          <w:color w:val="222222"/>
          <w:highlight w:val="yellow"/>
          <w:shd w:val="clear" w:color="auto" w:fill="FFFFFF"/>
          <w:lang w:val="en-GB"/>
        </w:rPr>
        <w:t xml:space="preserve"> waste can be more or less eliminated due to the absence of large landfills in the region</w:t>
      </w:r>
      <w:r w:rsidRPr="002141B2">
        <w:rPr>
          <w:rFonts w:ascii="Arial" w:hAnsi="Arial" w:cs="Arial"/>
          <w:strike/>
          <w:color w:val="222222"/>
          <w:shd w:val="clear" w:color="auto" w:fill="FFFFFF"/>
          <w:lang w:val="en-GB"/>
        </w:rPr>
        <w:t xml:space="preserve">. As mentioned previously, this is expected due to its Geographical and biological features, together with the strongly </w:t>
      </w:r>
      <w:proofErr w:type="spellStart"/>
      <w:r w:rsidRPr="002141B2">
        <w:rPr>
          <w:rFonts w:ascii="Arial" w:hAnsi="Arial" w:cs="Arial"/>
          <w:strike/>
          <w:color w:val="222222"/>
          <w:shd w:val="clear" w:color="auto" w:fill="FFFFFF"/>
          <w:lang w:val="en-GB"/>
        </w:rPr>
        <w:t>agraguluraly</w:t>
      </w:r>
      <w:proofErr w:type="spellEnd"/>
      <w:r w:rsidRPr="002141B2">
        <w:rPr>
          <w:rFonts w:ascii="Arial" w:hAnsi="Arial" w:cs="Arial"/>
          <w:strike/>
          <w:color w:val="222222"/>
          <w:shd w:val="clear" w:color="auto" w:fill="FFFFFF"/>
          <w:lang w:val="en-GB"/>
        </w:rPr>
        <w:t xml:space="preserve"> use of the region. What is rather surprising is the seemingly </w:t>
      </w:r>
      <w:proofErr w:type="spellStart"/>
      <w:r w:rsidRPr="002141B2">
        <w:rPr>
          <w:rFonts w:ascii="Arial" w:hAnsi="Arial" w:cs="Arial"/>
          <w:strike/>
          <w:color w:val="222222"/>
          <w:shd w:val="clear" w:color="auto" w:fill="FFFFFF"/>
          <w:lang w:val="en-GB"/>
        </w:rPr>
        <w:t>neglegtebal</w:t>
      </w:r>
      <w:proofErr w:type="spellEnd"/>
      <w:r w:rsidRPr="002141B2">
        <w:rPr>
          <w:rFonts w:ascii="Arial" w:hAnsi="Arial" w:cs="Arial"/>
          <w:strike/>
          <w:color w:val="222222"/>
          <w:shd w:val="clear" w:color="auto" w:fill="FFFFFF"/>
          <w:lang w:val="en-GB"/>
        </w:rPr>
        <w:t xml:space="preserve"> effect of anthropogenic sources, like fossil fuel and industry, as this region is also heavily used in that regard.</w:t>
      </w:r>
    </w:p>
    <w:p w14:paraId="07E94D14" w14:textId="77777777" w:rsidR="002141B2" w:rsidRPr="002141B2" w:rsidRDefault="002141B2" w:rsidP="002141B2">
      <w:pPr>
        <w:rPr>
          <w:rFonts w:ascii="Arial" w:hAnsi="Arial" w:cs="Arial"/>
          <w:strike/>
          <w:color w:val="222222"/>
          <w:shd w:val="clear" w:color="auto" w:fill="FFFFFF"/>
          <w:lang w:val="en-GB"/>
        </w:rPr>
      </w:pPr>
    </w:p>
    <w:p w14:paraId="1C3EAB5F" w14:textId="77777777" w:rsidR="002141B2" w:rsidRPr="002141B2" w:rsidRDefault="002141B2" w:rsidP="002141B2">
      <w:pPr>
        <w:rPr>
          <w:rFonts w:ascii="Helvetica Neue" w:hAnsi="Helvetica Neue"/>
          <w:strike/>
          <w:color w:val="222222"/>
          <w:sz w:val="22"/>
          <w:szCs w:val="22"/>
          <w:shd w:val="clear" w:color="auto" w:fill="FFFFFF"/>
          <w:lang w:val="en-GB"/>
        </w:rPr>
      </w:pPr>
      <w:r w:rsidRPr="002141B2">
        <w:rPr>
          <w:rFonts w:ascii="Arial" w:hAnsi="Arial" w:cs="Arial"/>
          <w:strike/>
          <w:color w:val="222222"/>
          <w:shd w:val="clear" w:color="auto" w:fill="FFFFFF"/>
          <w:lang w:val="en-GB"/>
        </w:rPr>
        <w:t xml:space="preserve">The same analyses have been done for the methane peaks, as seen in the dual isotope plot, </w:t>
      </w:r>
      <w:r w:rsidRPr="002141B2">
        <w:rPr>
          <w:rFonts w:ascii="Arial" w:hAnsi="Arial" w:cs="Arial"/>
          <w:i/>
          <w:iCs/>
          <w:strike/>
          <w:color w:val="222222"/>
          <w:shd w:val="clear" w:color="auto" w:fill="FFFFFF"/>
          <w:lang w:val="en-GB"/>
        </w:rPr>
        <w:t xml:space="preserve">12_Keeling_Peaks_Wind.png. </w:t>
      </w:r>
      <w:proofErr w:type="spellStart"/>
      <w:r w:rsidRPr="002141B2">
        <w:rPr>
          <w:rFonts w:ascii="Arial" w:hAnsi="Arial" w:cs="Arial"/>
          <w:strike/>
          <w:color w:val="222222"/>
          <w:shd w:val="clear" w:color="auto" w:fill="FFFFFF"/>
          <w:lang w:val="en-GB"/>
        </w:rPr>
        <w:t>hier</w:t>
      </w:r>
      <w:proofErr w:type="spellEnd"/>
      <w:r w:rsidRPr="002141B2">
        <w:rPr>
          <w:rFonts w:ascii="Arial" w:hAnsi="Arial" w:cs="Arial"/>
          <w:strike/>
          <w:color w:val="222222"/>
          <w:shd w:val="clear" w:color="auto" w:fill="FFFFFF"/>
          <w:lang w:val="en-GB"/>
        </w:rPr>
        <w:t>, it has to be noted that not all wind directions had sufficient peaks to create a statistically meaningful keeling analyse. For the remaining wind directions, the dual isotope plot indicates a wetland and agricultural origin. Point again toward a biogenic origin in the river Elbe and its wetlands.</w:t>
      </w:r>
      <w:r w:rsidRPr="002141B2">
        <w:rPr>
          <w:rFonts w:ascii="Helvetica Neue" w:hAnsi="Helvetica Neue"/>
          <w:strike/>
          <w:color w:val="222222"/>
          <w:shd w:val="clear" w:color="auto" w:fill="FFFFFF"/>
          <w:lang w:val="en-GB"/>
        </w:rPr>
        <w:t xml:space="preserve">  </w:t>
      </w:r>
    </w:p>
    <w:p w14:paraId="61564245" w14:textId="77777777" w:rsidR="002141B2" w:rsidRPr="002141B2" w:rsidRDefault="002141B2">
      <w:pPr>
        <w:rPr>
          <w:lang w:val="en-GB"/>
        </w:rPr>
      </w:pPr>
    </w:p>
    <w:sectPr w:rsidR="002141B2" w:rsidRPr="00214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MI12">
    <w:altName w:val="Cambria"/>
    <w:panose1 w:val="020B0604020202020204"/>
    <w:charset w:val="00"/>
    <w:family w:val="roman"/>
    <w:notTrueType/>
    <w:pitch w:val="default"/>
  </w:font>
  <w:font w:name="CMMI8">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SY10">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9C05FE"/>
    <w:multiLevelType w:val="hybridMultilevel"/>
    <w:tmpl w:val="15A6F3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72FB6028"/>
    <w:multiLevelType w:val="hybridMultilevel"/>
    <w:tmpl w:val="3AFAE0B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725646503">
    <w:abstractNumId w:val="1"/>
  </w:num>
  <w:num w:numId="2" w16cid:durableId="449714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1B2"/>
    <w:rsid w:val="002141B2"/>
    <w:rsid w:val="00781AA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1AC90721"/>
  <w15:chartTrackingRefBased/>
  <w15:docId w15:val="{CB3A5953-A5BE-B24E-B8A0-753F0895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1B2"/>
    <w:pPr>
      <w:ind w:left="720"/>
      <w:contextualSpacing/>
    </w:pPr>
  </w:style>
  <w:style w:type="character" w:styleId="Hyperlink">
    <w:name w:val="Hyperlink"/>
    <w:basedOn w:val="DefaultParagraphFont"/>
    <w:uiPriority w:val="99"/>
    <w:unhideWhenUsed/>
    <w:rsid w:val="002141B2"/>
    <w:rPr>
      <w:color w:val="0563C1" w:themeColor="hyperlink"/>
      <w:u w:val="single"/>
    </w:rPr>
  </w:style>
  <w:style w:type="paragraph" w:styleId="NormalWeb">
    <w:name w:val="Normal (Web)"/>
    <w:basedOn w:val="Normal"/>
    <w:uiPriority w:val="99"/>
    <w:unhideWhenUsed/>
    <w:rsid w:val="002141B2"/>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ader.elsevier.com/reader/sd/pii/0016703758900334?token=0DBC685A3EE6237763F578EBF74EA09416F76D95982C2F26584893ED72DF7286314090AE33BF9CDFDD8A25F98C5C4152&amp;originRegion=eu-west-1&amp;originCreation=2023021512575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TU-Pseudonym 7866009872347611</dc:creator>
  <cp:keywords/>
  <dc:description/>
  <cp:lastModifiedBy>TU-Pseudonym 7866009872347611</cp:lastModifiedBy>
  <cp:revision>2</cp:revision>
  <dcterms:created xsi:type="dcterms:W3CDTF">2023-04-17T13:11:00Z</dcterms:created>
  <dcterms:modified xsi:type="dcterms:W3CDTF">2023-04-17T13:16:00Z</dcterms:modified>
</cp:coreProperties>
</file>