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3B11C" w14:textId="77777777" w:rsidR="00F324BE" w:rsidRPr="00E920C8" w:rsidRDefault="00F324BE" w:rsidP="00F324BE">
      <w:pPr>
        <w:pStyle w:val="NormalWeb"/>
        <w:rPr>
          <w:b/>
          <w:bCs/>
          <w:strike/>
          <w:lang w:val="en-GB"/>
        </w:rPr>
      </w:pPr>
      <w:r w:rsidRPr="00E920C8">
        <w:rPr>
          <w:b/>
          <w:bCs/>
          <w:strike/>
          <w:lang w:val="en-GB"/>
        </w:rPr>
        <w:t>Mass Spectroscopy</w:t>
      </w:r>
    </w:p>
    <w:p w14:paraId="260E6EF7" w14:textId="77777777" w:rsidR="00F324BE" w:rsidRPr="00E920C8" w:rsidRDefault="00F324BE" w:rsidP="00F324BE">
      <w:pPr>
        <w:pStyle w:val="NormalWeb"/>
        <w:rPr>
          <w:strike/>
          <w:lang w:val="en-GB"/>
        </w:rPr>
      </w:pPr>
      <w:r w:rsidRPr="00E920C8">
        <w:rPr>
          <w:strike/>
          <w:lang w:val="en-GB"/>
        </w:rPr>
        <w:t xml:space="preserve">The commonly used analytical technique of mass spectroscopy offers an excellent tool for measuring ion mass to charge ratio. This allows for accurate measurement of the isotope ratios in a sample, giving great insight into the production mechanisms of molecules studied. By measuring and analysing the ratios of Hydrogen (H) to its heavier Deuterium (2^H) isotope and Carbon (12^C) to its heavier Carbon-13 (13^C) Isotope in methane, its </w:t>
      </w:r>
      <w:r w:rsidRPr="00E920C8">
        <w:rPr>
          <w:strike/>
          <w:highlight w:val="yellow"/>
          <w:lang w:val="en-GB"/>
        </w:rPr>
        <w:t>origin</w:t>
      </w:r>
      <w:r w:rsidRPr="00E920C8">
        <w:rPr>
          <w:strike/>
          <w:lang w:val="en-GB"/>
        </w:rPr>
        <w:t xml:space="preserve"> can be estimated. </w:t>
      </w:r>
      <w:r w:rsidRPr="00E920C8">
        <w:rPr>
          <w:strike/>
          <w:highlight w:val="yellow"/>
          <w:lang w:val="en-GB"/>
        </w:rPr>
        <w:t>Further detail on this analysis process will be given later in the section Keeling Analyse</w:t>
      </w:r>
      <w:r w:rsidRPr="00E920C8">
        <w:rPr>
          <w:strike/>
          <w:lang w:val="en-GB"/>
        </w:rPr>
        <w:t>.</w:t>
      </w:r>
    </w:p>
    <w:p w14:paraId="12C3D3DF" w14:textId="77777777" w:rsidR="00F324BE" w:rsidRPr="00E920C8" w:rsidRDefault="00F324BE" w:rsidP="00F324BE">
      <w:pPr>
        <w:pStyle w:val="NormalWeb"/>
        <w:rPr>
          <w:strike/>
          <w:lang w:val="en-GB"/>
        </w:rPr>
      </w:pPr>
      <w:r w:rsidRPr="00E920C8">
        <w:rPr>
          <w:strike/>
          <w:lang w:val="en-GB"/>
        </w:rPr>
        <w:t xml:space="preserve">A mass spectrometer </w:t>
      </w:r>
      <w:proofErr w:type="gramStart"/>
      <w:r w:rsidRPr="00E920C8">
        <w:rPr>
          <w:strike/>
          <w:lang w:val="en-GB"/>
        </w:rPr>
        <w:t>is able to</w:t>
      </w:r>
      <w:proofErr w:type="gramEnd"/>
      <w:r w:rsidRPr="00E920C8">
        <w:rPr>
          <w:strike/>
          <w:lang w:val="en-GB"/>
        </w:rPr>
        <w:t xml:space="preserve"> measure the charge ratio of an uncharged molecule by ionising the molecule by </w:t>
      </w:r>
      <w:r w:rsidRPr="00E920C8">
        <w:rPr>
          <w:strike/>
          <w:highlight w:val="yellow"/>
          <w:lang w:val="en-GB"/>
        </w:rPr>
        <w:t>electron impact</w:t>
      </w:r>
      <w:r w:rsidRPr="00E920C8">
        <w:rPr>
          <w:strike/>
          <w:lang w:val="en-GB"/>
        </w:rPr>
        <w:t xml:space="preserve">. The ionised molecule now has an electric potential and can experience the effects of magnetic and electrostatic felts. </w:t>
      </w:r>
    </w:p>
    <w:p w14:paraId="7DA3D931" w14:textId="77777777" w:rsidR="00F324BE" w:rsidRPr="00E920C8" w:rsidRDefault="00F324BE" w:rsidP="00F324BE">
      <w:pPr>
        <w:pStyle w:val="NormalWeb"/>
        <w:rPr>
          <w:strike/>
          <w:lang w:val="en-GB"/>
        </w:rPr>
      </w:pPr>
      <w:r w:rsidRPr="00E920C8">
        <w:rPr>
          <w:strike/>
          <w:lang w:val="en-GB"/>
        </w:rPr>
        <w:t>The ions are accelerated by using an electric potential, resulting in a similar Kinetic energy for all ions independent of their mass-to-charge ratio.</w:t>
      </w:r>
    </w:p>
    <w:p w14:paraId="11D01C13" w14:textId="77777777" w:rsidR="00F324BE" w:rsidRPr="00E920C8" w:rsidRDefault="00F324BE" w:rsidP="00F324BE">
      <w:pPr>
        <w:pStyle w:val="NormalWeb"/>
        <w:rPr>
          <w:strike/>
          <w:lang w:val="en-GB"/>
        </w:rPr>
      </w:pPr>
      <w:r w:rsidRPr="00E920C8">
        <w:rPr>
          <w:strike/>
          <w:lang w:val="en-GB"/>
        </w:rPr>
        <w:t xml:space="preserve">A magnetic field is then applied to the accelerated ions resulting in a Lorenz force experienced by the ions. Consequently, the trajectory of the Icons is bent towards a circle within the magnetic field. While equal charges with an equal velocity experience the same Lorenz force, they do not necessarily follow the same Circular trajectory. This is co-dependent on the mass of the charge, </w:t>
      </w:r>
      <w:proofErr w:type="gramStart"/>
      <w:r w:rsidRPr="00E920C8">
        <w:rPr>
          <w:strike/>
          <w:lang w:val="en-GB"/>
        </w:rPr>
        <w:t>i.e.</w:t>
      </w:r>
      <w:proofErr w:type="gramEnd"/>
      <w:r w:rsidRPr="00E920C8">
        <w:rPr>
          <w:strike/>
          <w:lang w:val="en-GB"/>
        </w:rPr>
        <w:t xml:space="preserve"> the ionised molecule. Hence for isotopes with larger masses, the radius of the trajectory differs from the radius of the lighter parent isotope. The heavier isotopes have a larger radius than their lighter contra </w:t>
      </w:r>
      <w:proofErr w:type="gramStart"/>
      <w:r w:rsidRPr="00E920C8">
        <w:rPr>
          <w:strike/>
          <w:lang w:val="en-GB"/>
        </w:rPr>
        <w:t>part</w:t>
      </w:r>
      <w:proofErr w:type="gramEnd"/>
    </w:p>
    <w:p w14:paraId="77D1AE56" w14:textId="77777777" w:rsidR="00F324BE" w:rsidRPr="00E920C8" w:rsidRDefault="00F324BE" w:rsidP="00F324BE">
      <w:pPr>
        <w:pStyle w:val="NormalWeb"/>
        <w:rPr>
          <w:strike/>
        </w:rPr>
      </w:pPr>
      <w:r w:rsidRPr="00E920C8">
        <w:rPr>
          <w:strike/>
          <w:lang w:val="en-US"/>
        </w:rPr>
        <w:t xml:space="preserve">Eq. </w:t>
      </w:r>
      <w:r w:rsidRPr="00E920C8">
        <w:rPr>
          <w:strike/>
        </w:rPr>
        <w:t xml:space="preserve">2.23 </w:t>
      </w:r>
    </w:p>
    <w:p w14:paraId="421A043D" w14:textId="77777777" w:rsidR="00F324BE" w:rsidRPr="00E920C8" w:rsidRDefault="00F324BE" w:rsidP="00F324BE">
      <w:pPr>
        <w:pStyle w:val="NormalWeb"/>
        <w:rPr>
          <w:strike/>
          <w:lang w:val="en-GB"/>
        </w:rPr>
      </w:pPr>
    </w:p>
    <w:p w14:paraId="7B2180AF" w14:textId="77777777" w:rsidR="00F324BE" w:rsidRPr="00E920C8" w:rsidRDefault="00F324BE" w:rsidP="00F324BE">
      <w:pPr>
        <w:pStyle w:val="NormalWeb"/>
        <w:rPr>
          <w:strike/>
          <w:lang w:val="en-GB"/>
        </w:rPr>
      </w:pPr>
      <w:r w:rsidRPr="00E920C8">
        <w:rPr>
          <w:strike/>
          <w:lang w:val="en-GB"/>
        </w:rPr>
        <w:t xml:space="preserve">This generates a mass spectrum, a histogram of the isotope abundance/intensity versus its mass-to-charge ratio. By comparing the area of an isotope peak in the mass spectrum in the sample to a well-calibrated reference sample, the concentration can be calculated as </w:t>
      </w:r>
      <w:proofErr w:type="gramStart"/>
      <w:r w:rsidRPr="00E920C8">
        <w:rPr>
          <w:strike/>
          <w:lang w:val="en-GB"/>
        </w:rPr>
        <w:t>follows</w:t>
      </w:r>
      <w:proofErr w:type="gramEnd"/>
    </w:p>
    <w:p w14:paraId="4F52A253" w14:textId="77777777" w:rsidR="00F324BE" w:rsidRPr="00E920C8" w:rsidRDefault="00F324BE" w:rsidP="00F324BE">
      <w:pPr>
        <w:pStyle w:val="NormalWeb"/>
        <w:rPr>
          <w:strike/>
          <w:lang w:val="en-GB"/>
        </w:rPr>
      </w:pPr>
      <w:proofErr w:type="spellStart"/>
      <w:r w:rsidRPr="00E920C8">
        <w:rPr>
          <w:strike/>
          <w:lang w:val="en-GB"/>
        </w:rPr>
        <w:t>Eq</w:t>
      </w:r>
      <w:proofErr w:type="spellEnd"/>
      <w:r w:rsidRPr="00E920C8">
        <w:rPr>
          <w:strike/>
          <w:lang w:val="en-GB"/>
        </w:rPr>
        <w:t xml:space="preserve"> 2.24</w:t>
      </w:r>
    </w:p>
    <w:p w14:paraId="302A2198" w14:textId="77777777" w:rsidR="00F324BE" w:rsidRPr="00E920C8" w:rsidRDefault="00F324BE" w:rsidP="00F324BE">
      <w:pPr>
        <w:pStyle w:val="NormalWeb"/>
        <w:rPr>
          <w:strike/>
          <w:lang w:val="en-GB"/>
        </w:rPr>
      </w:pPr>
      <w:r w:rsidRPr="00E920C8">
        <w:rPr>
          <w:strike/>
          <w:lang w:val="en-GB"/>
        </w:rPr>
        <w:t>The Isotope ratio (delta) is noted Per mill and describes the Ratio of Heavy isotopes compared to the light isotope. This can be calculated with the Ratio R of a Standard reference and the sample.</w:t>
      </w:r>
    </w:p>
    <w:p w14:paraId="5B579D15" w14:textId="77777777" w:rsidR="00F324BE" w:rsidRPr="00E920C8" w:rsidRDefault="00F324BE" w:rsidP="00F324BE">
      <w:pPr>
        <w:pStyle w:val="NormalWeb"/>
        <w:rPr>
          <w:strike/>
          <w:lang w:val="en-GB"/>
        </w:rPr>
      </w:pPr>
      <w:r w:rsidRPr="00E920C8">
        <w:rPr>
          <w:strike/>
          <w:lang w:val="en-GB"/>
        </w:rPr>
        <w:t>Ep 2.25</w:t>
      </w:r>
    </w:p>
    <w:p w14:paraId="4B3218CD" w14:textId="77777777" w:rsidR="00F324BE" w:rsidRPr="00E920C8" w:rsidRDefault="00F324BE" w:rsidP="00F324BE">
      <w:pPr>
        <w:pStyle w:val="NormalWeb"/>
        <w:rPr>
          <w:strike/>
          <w:lang w:val="en-GB"/>
        </w:rPr>
      </w:pPr>
      <w:r w:rsidRPr="00E920C8">
        <w:rPr>
          <w:strike/>
          <w:lang w:val="en-GB"/>
        </w:rPr>
        <w:t xml:space="preserve">The Isotope ratio is converted to the international Isotope scale </w:t>
      </w:r>
      <w:proofErr w:type="gramStart"/>
      <w:r w:rsidRPr="00E920C8">
        <w:rPr>
          <w:strike/>
          <w:lang w:val="en-GB"/>
        </w:rPr>
        <w:t>by</w:t>
      </w:r>
      <w:proofErr w:type="gramEnd"/>
      <w:r w:rsidRPr="00E920C8">
        <w:rPr>
          <w:strike/>
          <w:lang w:val="en-GB"/>
        </w:rPr>
        <w:t xml:space="preserve"> </w:t>
      </w:r>
    </w:p>
    <w:p w14:paraId="5BEE5912" w14:textId="77777777" w:rsidR="00F324BE" w:rsidRPr="00E920C8" w:rsidRDefault="00F324BE" w:rsidP="00F324BE">
      <w:pPr>
        <w:pStyle w:val="NormalWeb"/>
        <w:rPr>
          <w:strike/>
          <w:lang w:val="en-GB"/>
        </w:rPr>
      </w:pPr>
      <w:r w:rsidRPr="00E920C8">
        <w:rPr>
          <w:strike/>
          <w:lang w:val="en-GB"/>
        </w:rPr>
        <w:t>Ep2.26</w:t>
      </w:r>
    </w:p>
    <w:p w14:paraId="61DBF741" w14:textId="77777777" w:rsidR="00F324BE" w:rsidRPr="00E920C8" w:rsidRDefault="00F324BE" w:rsidP="00F324BE">
      <w:pPr>
        <w:pStyle w:val="NormalWeb"/>
        <w:rPr>
          <w:strike/>
          <w:lang w:val="en-GB"/>
        </w:rPr>
      </w:pPr>
      <w:r w:rsidRPr="00E920C8">
        <w:rPr>
          <w:strike/>
          <w:lang w:val="en-GB"/>
        </w:rPr>
        <w:t>Pee Dee Belemnite (PDB</w:t>
      </w:r>
      <w:proofErr w:type="gramStart"/>
      <w:r w:rsidRPr="00E920C8">
        <w:rPr>
          <w:strike/>
          <w:lang w:val="en-GB"/>
        </w:rPr>
        <w:t>) ,</w:t>
      </w:r>
      <w:proofErr w:type="gramEnd"/>
      <w:r w:rsidRPr="00E920C8">
        <w:rPr>
          <w:strike/>
          <w:lang w:val="en-GB"/>
        </w:rPr>
        <w:t xml:space="preserve"> VPDB Viana PDB.</w:t>
      </w:r>
    </w:p>
    <w:p w14:paraId="4EA97225" w14:textId="77777777" w:rsidR="00F324BE" w:rsidRPr="00E920C8" w:rsidRDefault="00F324BE" w:rsidP="00F324BE">
      <w:pPr>
        <w:pStyle w:val="NormalWeb"/>
        <w:rPr>
          <w:strike/>
          <w:lang w:val="en-GB"/>
        </w:rPr>
      </w:pPr>
      <w:hyperlink r:id="rId4" w:history="1">
        <w:r w:rsidRPr="00E920C8">
          <w:rPr>
            <w:strike/>
            <w:lang w:val="en-GB"/>
          </w:rPr>
          <w:t>https://en.wikipedia.org/wiki/%CE%9413C</w:t>
        </w:r>
      </w:hyperlink>
    </w:p>
    <w:p w14:paraId="558CE71B" w14:textId="77777777" w:rsidR="00F324BE" w:rsidRPr="00E920C8" w:rsidRDefault="00F324BE" w:rsidP="00F324BE">
      <w:pPr>
        <w:pStyle w:val="NormalWeb"/>
        <w:rPr>
          <w:strike/>
          <w:lang w:val="en-GB"/>
        </w:rPr>
      </w:pPr>
      <w:r w:rsidRPr="00E920C8">
        <w:rPr>
          <w:strike/>
          <w:lang w:val="en-GB"/>
        </w:rPr>
        <w:t>Vienna Standard Mean Ocean Water VSMOW</w:t>
      </w:r>
    </w:p>
    <w:p w14:paraId="198AE5B5" w14:textId="77777777" w:rsidR="00F324BE" w:rsidRPr="00E920C8" w:rsidRDefault="00F324BE" w:rsidP="00F324BE">
      <w:pPr>
        <w:pStyle w:val="NormalWeb"/>
        <w:rPr>
          <w:strike/>
          <w:lang w:val="en-GB"/>
        </w:rPr>
      </w:pPr>
      <w:r w:rsidRPr="00E920C8">
        <w:rPr>
          <w:strike/>
          <w:lang w:val="en-GB"/>
        </w:rPr>
        <w:lastRenderedPageBreak/>
        <w:t>https://de.wikipedia.org/wiki/Vienna_Standard_Mean_Ocean_Water</w:t>
      </w:r>
    </w:p>
    <w:p w14:paraId="7D3BCF9A" w14:textId="009AFDA4" w:rsidR="00F324BE" w:rsidRDefault="00F324BE" w:rsidP="00F324BE">
      <w:r w:rsidRPr="00E920C8">
        <w:rPr>
          <w:b/>
          <w:bCs/>
          <w:strike/>
          <w:lang w:val="en-GB"/>
        </w:rPr>
        <w:t>Continuous flow Isotopic Ratio Mass Spectrometer (IRMS)</w:t>
      </w:r>
    </w:p>
    <w:sectPr w:rsidR="00F324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4BE"/>
    <w:rsid w:val="00F32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C816A7D"/>
  <w15:chartTrackingRefBased/>
  <w15:docId w15:val="{73ACC311-B3E3-F94C-A0C5-9AC60D171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24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324B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wikipedia.org/wiki/%CE%9413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366</Words>
  <Characters>2087</Characters>
  <Application>Microsoft Office Word</Application>
  <DocSecurity>0</DocSecurity>
  <Lines>17</Lines>
  <Paragraphs>4</Paragraphs>
  <ScaleCrop>false</ScaleCrop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TU-Pseudonym 7866009872347611</dc:creator>
  <cp:keywords/>
  <dc:description/>
  <cp:lastModifiedBy>TU-Pseudonym 7866009872347611</cp:lastModifiedBy>
  <cp:revision>1</cp:revision>
  <dcterms:created xsi:type="dcterms:W3CDTF">2023-04-17T13:49:00Z</dcterms:created>
  <dcterms:modified xsi:type="dcterms:W3CDTF">2023-04-17T13:50:00Z</dcterms:modified>
</cp:coreProperties>
</file>