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220" w:before="0"/>
        <w:jc w:val="center"/>
      </w:pPr>
      <w:r>
        <w:rPr>
          <w:rFonts w:ascii="Lexend" w:cs="Lexend" w:eastAsia="Lexend" w:hAnsi="Lexend"/>
          <w:b/>
          <w:bCs/>
          <w:color w:val="1A1A1A"/>
          <w:spacing w:val="30"/>
          <w:sz w:val="30"/>
          <w:szCs w:val="30"/>
          <w:lang w:val="es-AR"/>
        </w:rPr>
        <w:t xml:space="preserve">LA FELICIDAD PARADÓJICA — GILLES LIPOVETSKY</w:t>
      </w:r>
    </w:p>
    <w:p>
      <w:pPr>
        <w:pStyle w:val="Heading1"/>
        <w:keepNext/>
        <w:spacing w:after="220" w:before="380"/>
        <w:jc w:val="center"/>
      </w:pPr>
      <w:r>
        <w:rPr>
          <w:rFonts w:ascii="Lexend" w:cs="Lexend" w:eastAsia="Lexend" w:hAnsi="Lexend"/>
          <w:b/>
          <w:bCs/>
          <w:color w:val="1A1A1A"/>
          <w:spacing w:val="30"/>
          <w:sz w:val="25"/>
          <w:szCs w:val="25"/>
          <w:lang w:val="es-AR"/>
        </w:rPr>
        <w:t xml:space="preserve">A) CUADRO COMPARATIVO: LAS TRES FASES DEL CAPITALISMO DE CONSUMO</w:t>
      </w:r>
    </w:p>
    <w:p>
      <w:pPr>
        <w:spacing w:after="120" w:line="280"/>
        <w:jc w:val="both"/>
      </w:pPr>
      <w:r>
        <w:rPr>
          <w:rFonts w:ascii="Lexend" w:cs="Lexend" w:eastAsia="Lexend" w:hAnsi="Lexend"/>
          <w:color w:val="1A1A1A"/>
          <w:sz w:val="22"/>
          <w:szCs w:val="22"/>
          <w:lang w:val="es-AR"/>
        </w:rPr>
        <w:t xml:space="preserve">Lipovetsky no describe «el consumo» como un bloque, sino tres regímenes sucesivos —tres «ciclos» del capitalismo de consumo— que se solapan: cada fase no borra la anterior, la reabsorbe. El cuadro siguiente recupera las ideas principales de cada una.</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1542"/>
        <w:gridCol w:w="2699"/>
        <w:gridCol w:w="2699"/>
        <w:gridCol w:w="2698"/>
      </w:tblGrid>
      <w:tr>
        <w:trPr>
          <w:cantSplit/>
          <w:tblHeader/>
        </w:trPr>
        <w:tc>
          <w:tcPr>
            <w:tcW w:type="dxa" w:w="154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Dimensión</w:t>
            </w:r>
          </w:p>
        </w:tc>
        <w:tc>
          <w:tcPr>
            <w:tcW w:type="dxa" w:w="2699"/>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Fase I (≈1880 – 1945)</w:t>
            </w:r>
          </w:p>
        </w:tc>
        <w:tc>
          <w:tcPr>
            <w:tcW w:type="dxa" w:w="2699"/>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Fase II (≈1950 – fines de los '70)</w:t>
            </w:r>
          </w:p>
        </w:tc>
        <w:tc>
          <w:tcPr>
            <w:tcW w:type="dxa" w:w="2698"/>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Fase III (desde los '80 hasta hoy)</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Denominación</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Nacimiento de los mercados de masas</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Sociedad de consumo de masas / sociedad de la abundancia</w:t>
            </w:r>
          </w:p>
        </w:tc>
        <w:tc>
          <w:tcPr>
            <w:tcW w:type="dxa" w:w="269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Sociedad de </w:t>
            </w:r>
            <w:r>
              <w:rPr>
                <w:rFonts w:ascii="Lexend" w:cs="Lexend" w:eastAsia="Lexend" w:hAnsi="Lexend"/>
                <w:b/>
                <w:bCs/>
                <w:color w:val="1A1A1A"/>
                <w:sz w:val="18"/>
                <w:szCs w:val="18"/>
                <w:lang w:val="es-AR"/>
              </w:rPr>
              <w:t xml:space="preserve">hiperconsumo</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Base técnico-económica</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Producción en serie, ferrocarril, envase y empaquetado industrial; precio fijo en lugar de regateo</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Fordismo maduro, «treinta gloriosos», aumento sostenido del poder adquisitivo, crédito al consumo</w:t>
            </w:r>
          </w:p>
        </w:tc>
        <w:tc>
          <w:tcPr>
            <w:tcW w:type="dxa" w:w="269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Economía de servicios y de la información, globalización, personalización, segmentación fina y tiempo real</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Qué se democratiza</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 </w:t>
            </w:r>
            <w:r>
              <w:rPr>
                <w:rFonts w:ascii="Lexend" w:cs="Lexend" w:eastAsia="Lexend" w:hAnsi="Lexend"/>
                <w:b/>
                <w:bCs/>
                <w:color w:val="1A1A1A"/>
                <w:sz w:val="18"/>
                <w:szCs w:val="18"/>
                <w:lang w:val="es-AR"/>
              </w:rPr>
              <w:t xml:space="preserve">tentación</w:t>
            </w:r>
            <w:r>
              <w:rPr>
                <w:rFonts w:ascii="Lexend" w:cs="Lexend" w:eastAsia="Lexend" w:hAnsi="Lexend"/>
                <w:color w:val="1A1A1A"/>
                <w:sz w:val="18"/>
                <w:szCs w:val="18"/>
                <w:lang w:val="es-AR"/>
              </w:rPr>
              <w:t xml:space="preserve">: mirar, comparar, desear sin comprar. Bienes no duraderos (jabón, alimentos, cigarrillos)</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 </w:t>
            </w:r>
            <w:r>
              <w:rPr>
                <w:rFonts w:ascii="Lexend" w:cs="Lexend" w:eastAsia="Lexend" w:hAnsi="Lexend"/>
                <w:b/>
                <w:bCs/>
                <w:color w:val="1A1A1A"/>
                <w:sz w:val="18"/>
                <w:szCs w:val="18"/>
                <w:lang w:val="es-AR"/>
              </w:rPr>
              <w:t xml:space="preserve">posesión</w:t>
            </w:r>
            <w:r>
              <w:rPr>
                <w:rFonts w:ascii="Lexend" w:cs="Lexend" w:eastAsia="Lexend" w:hAnsi="Lexend"/>
                <w:color w:val="1A1A1A"/>
                <w:sz w:val="18"/>
                <w:szCs w:val="18"/>
                <w:lang w:val="es-AR"/>
              </w:rPr>
              <w:t xml:space="preserve">: auto, heladera, lavarropas, televisor entran al hogar obrero y medio</w:t>
            </w:r>
          </w:p>
        </w:tc>
        <w:tc>
          <w:tcPr>
            <w:tcW w:type="dxa" w:w="269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w:t>
            </w:r>
            <w:r>
              <w:rPr>
                <w:rFonts w:ascii="Lexend" w:cs="Lexend" w:eastAsia="Lexend" w:hAnsi="Lexend"/>
                <w:b/>
                <w:bCs/>
                <w:color w:val="1A1A1A"/>
                <w:sz w:val="18"/>
                <w:szCs w:val="18"/>
                <w:lang w:val="es-AR"/>
              </w:rPr>
              <w:t xml:space="preserve">acceso y la experiencia</w:t>
            </w:r>
            <w:r>
              <w:rPr>
                <w:rFonts w:ascii="Lexend" w:cs="Lexend" w:eastAsia="Lexend" w:hAnsi="Lexend"/>
                <w:color w:val="1A1A1A"/>
                <w:sz w:val="18"/>
                <w:szCs w:val="18"/>
                <w:lang w:val="es-AR"/>
              </w:rPr>
              <w:t xml:space="preserve">: ocio, viajes, salud, cultura, bienestar, servicios a la carta</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Escenario emblemático</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gran almacén: entrada libre, precio marcado, exhibición seductora; la compra como paseo y espectáculo</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hogar equipado y el supermercado; el «modo de vida americano» como modelo</w:t>
            </w:r>
          </w:p>
        </w:tc>
        <w:tc>
          <w:tcPr>
            <w:tcW w:type="dxa" w:w="269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El shopping, la pantalla, la suscripción, el aeropuerto; el mercado disponible 24/7</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Figura del consumidor</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Consumidor en formación: hay que </w:t>
            </w:r>
            <w:r>
              <w:rPr>
                <w:rFonts w:ascii="Lexend" w:cs="Lexend" w:eastAsia="Lexend" w:hAnsi="Lexend"/>
                <w:i/>
                <w:iCs/>
                <w:color w:val="1A1A1A"/>
                <w:sz w:val="18"/>
                <w:szCs w:val="18"/>
                <w:lang w:val="es-AR"/>
              </w:rPr>
              <w:t xml:space="preserve">educarlo</w:t>
            </w:r>
            <w:r>
              <w:rPr>
                <w:rFonts w:ascii="Lexend" w:cs="Lexend" w:eastAsia="Lexend" w:hAnsi="Lexend"/>
                <w:color w:val="1A1A1A"/>
                <w:sz w:val="18"/>
                <w:szCs w:val="18"/>
                <w:lang w:val="es-AR"/>
              </w:rPr>
              <w:t xml:space="preserve"> a desear lo nuevo y a confiar en la marca antes que en el almacenero</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Consumidor de masas, integrado a un grupo y a una clase; consume dentro de un guion social compartido</w:t>
            </w:r>
          </w:p>
        </w:tc>
        <w:tc>
          <w:tcPr>
            <w:tcW w:type="dxa" w:w="269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Turboconsumidor / homo consumericus de tercera generación</w:t>
            </w:r>
            <w:r>
              <w:rPr>
                <w:rFonts w:ascii="Lexend" w:cs="Lexend" w:eastAsia="Lexend" w:hAnsi="Lexend"/>
                <w:color w:val="1A1A1A"/>
                <w:sz w:val="18"/>
                <w:szCs w:val="18"/>
                <w:lang w:val="es-AR"/>
              </w:rPr>
              <w:t xml:space="preserve">: desregulado, nómade, imprevisible, infiel a marcas y categorías</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Motor del deseo</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 novedad y el precio bajo; la marca moderna como garantía impersonal de calidad</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 </w:t>
            </w:r>
            <w:r>
              <w:rPr>
                <w:rFonts w:ascii="Lexend" w:cs="Lexend" w:eastAsia="Lexend" w:hAnsi="Lexend"/>
                <w:b/>
                <w:bCs/>
                <w:color w:val="1A1A1A"/>
                <w:sz w:val="18"/>
                <w:szCs w:val="18"/>
                <w:lang w:val="es-AR"/>
              </w:rPr>
              <w:t xml:space="preserve">distinción social</w:t>
            </w:r>
            <w:r>
              <w:rPr>
                <w:rFonts w:ascii="Lexend" w:cs="Lexend" w:eastAsia="Lexend" w:hAnsi="Lexend"/>
                <w:color w:val="1A1A1A"/>
                <w:sz w:val="18"/>
                <w:szCs w:val="18"/>
                <w:lang w:val="es-AR"/>
              </w:rPr>
              <w:t xml:space="preserve">: el objeto vale como signo de estatus frente a los demás</w:t>
            </w:r>
          </w:p>
        </w:tc>
        <w:tc>
          <w:tcPr>
            <w:tcW w:type="dxa" w:w="269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 </w:t>
            </w:r>
            <w:r>
              <w:rPr>
                <w:rFonts w:ascii="Lexend" w:cs="Lexend" w:eastAsia="Lexend" w:hAnsi="Lexend"/>
                <w:b/>
                <w:bCs/>
                <w:color w:val="1A1A1A"/>
                <w:sz w:val="18"/>
                <w:szCs w:val="18"/>
                <w:lang w:val="es-AR"/>
              </w:rPr>
              <w:t xml:space="preserve">sensación</w:t>
            </w:r>
            <w:r>
              <w:rPr>
                <w:rFonts w:ascii="Lexend" w:cs="Lexend" w:eastAsia="Lexend" w:hAnsi="Lexend"/>
                <w:color w:val="1A1A1A"/>
                <w:sz w:val="18"/>
                <w:szCs w:val="18"/>
                <w:lang w:val="es-AR"/>
              </w:rPr>
              <w:t xml:space="preserve">: emoción, experiencia, bienestar, salud, autenticidad. Se consume cada vez más </w:t>
            </w:r>
            <w:r>
              <w:rPr>
                <w:rFonts w:ascii="Lexend" w:cs="Lexend" w:eastAsia="Lexend" w:hAnsi="Lexend"/>
                <w:i/>
                <w:iCs/>
                <w:color w:val="1A1A1A"/>
                <w:sz w:val="18"/>
                <w:szCs w:val="18"/>
                <w:lang w:val="es-AR"/>
              </w:rPr>
              <w:t xml:space="preserve">para sí</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Publicidad y marca</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Nace la publicidad de masas; la marca desplaza al comerciante como fiador del producto</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Imagen, sueño y seducción; marketing masivo con segmentación gruesa</w:t>
            </w:r>
          </w:p>
        </w:tc>
        <w:tc>
          <w:tcPr>
            <w:tcW w:type="dxa" w:w="269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La marca vende un mundo emocional y un relato de identidad más que un producto; marketing experiencial y personalizado</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Relación con la moral</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Todavía en tensión con la ética del ahorro, del deber y de la contención</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Ruptura consumada: se legitiman el gasto, el placer, el ocio y el endeudamiento. Hedonismo de masas</w:t>
            </w:r>
          </w:p>
        </w:tc>
        <w:tc>
          <w:tcPr>
            <w:tcW w:type="dxa" w:w="269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Hedonismo ansioso y culpable a la vez: consumo ligado a la salud, al riesgo, a la ecología, a la culpa por consumir</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Alcance del consumo</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Acotado a la esfera comercial de los bienes</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 extiende al hogar, el automóvil, el ocio y la cultura de masas</w:t>
            </w:r>
          </w:p>
        </w:tc>
        <w:tc>
          <w:tcPr>
            <w:tcW w:type="dxa" w:w="269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 extiende a </w:t>
            </w:r>
            <w:r>
              <w:rPr>
                <w:rFonts w:ascii="Lexend" w:cs="Lexend" w:eastAsia="Lexend" w:hAnsi="Lexend"/>
                <w:b/>
                <w:bCs/>
                <w:color w:val="1A1A1A"/>
                <w:sz w:val="18"/>
                <w:szCs w:val="18"/>
                <w:lang w:val="es-AR"/>
              </w:rPr>
              <w:t xml:space="preserve">todas las esferas</w:t>
            </w:r>
            <w:r>
              <w:rPr>
                <w:rFonts w:ascii="Lexend" w:cs="Lexend" w:eastAsia="Lexend" w:hAnsi="Lexend"/>
                <w:color w:val="1A1A1A"/>
                <w:sz w:val="18"/>
                <w:szCs w:val="18"/>
                <w:lang w:val="es-AR"/>
              </w:rPr>
              <w:t xml:space="preserve">: cuerpo, salud, educación, religión, tiempo, relaciones, política. Nada queda estructuralmente afuera</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Idea de felicidad</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Felicidad como acceso a lo que antes estaba vedado</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Felicidad identificada con el </w:t>
            </w:r>
            <w:r>
              <w:rPr>
                <w:rFonts w:ascii="Lexend" w:cs="Lexend" w:eastAsia="Lexend" w:hAnsi="Lexend"/>
                <w:b/>
                <w:bCs/>
                <w:color w:val="1A1A1A"/>
                <w:sz w:val="18"/>
                <w:szCs w:val="18"/>
                <w:lang w:val="es-AR"/>
              </w:rPr>
              <w:t xml:space="preserve">confort material</w:t>
            </w:r>
            <w:r>
              <w:rPr>
                <w:rFonts w:ascii="Lexend" w:cs="Lexend" w:eastAsia="Lexend" w:hAnsi="Lexend"/>
                <w:color w:val="1A1A1A"/>
                <w:sz w:val="18"/>
                <w:szCs w:val="18"/>
                <w:lang w:val="es-AR"/>
              </w:rPr>
              <w:t xml:space="preserve"> y el bienestar doméstico</w:t>
            </w:r>
          </w:p>
        </w:tc>
        <w:tc>
          <w:tcPr>
            <w:tcW w:type="dxa" w:w="269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Felicidad como proyecto privado y permanente; se persigue subjetivamente y se posterga siempre</w:t>
            </w:r>
          </w:p>
        </w:tc>
      </w:tr>
      <w:tr>
        <w:trPr>
          <w:cantSplit/>
          <w:tblHeader w:val="false"/>
        </w:trPr>
        <w:tc>
          <w:tcPr>
            <w:tcW w:type="dxa" w:w="154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Tensión / límite propio</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Desigualdad real de acceso: se democratiza el deseo mucho antes que el consumo</w:t>
            </w:r>
          </w:p>
        </w:tc>
        <w:tc>
          <w:tcPr>
            <w:tcW w:type="dxa" w:w="269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Conformismo: emancipa del orden tradicional pero encierra en la norma del grupo</w:t>
            </w:r>
          </w:p>
        </w:tc>
        <w:tc>
          <w:tcPr>
            <w:tcW w:type="dxa" w:w="2698"/>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b/>
                <w:bCs/>
                <w:color w:val="1A1A1A"/>
                <w:sz w:val="18"/>
                <w:szCs w:val="18"/>
                <w:lang w:val="es-AR"/>
              </w:rPr>
              <w:t xml:space="preserve">La paradoja</w:t>
            </w:r>
            <w:r>
              <w:rPr>
                <w:rFonts w:ascii="Lexend" w:cs="Lexend" w:eastAsia="Lexend" w:hAnsi="Lexend"/>
                <w:color w:val="1A1A1A"/>
                <w:sz w:val="18"/>
                <w:szCs w:val="18"/>
                <w:lang w:val="es-AR"/>
              </w:rPr>
              <w:t xml:space="preserve">: más abundancia, más elección y más confort conviven con más ansiedad, decepción, fragilidad subjetiva y depresión</w:t>
            </w:r>
          </w:p>
        </w:tc>
      </w:tr>
    </w:tbl>
    <w:p>
      <w:pPr>
        <w:spacing w:after="160"/>
      </w:pPr>
    </w:p>
    <w:p>
      <w:pPr>
        <w:spacing w:after="120" w:line="280"/>
        <w:jc w:val="both"/>
      </w:pPr>
      <w:r>
        <w:rPr>
          <w:rFonts w:ascii="Lexend" w:cs="Lexend" w:eastAsia="Lexend" w:hAnsi="Lexend"/>
          <w:b/>
          <w:bCs/>
          <w:color w:val="1A1A1A"/>
          <w:sz w:val="22"/>
          <w:szCs w:val="22"/>
          <w:lang w:val="es-AR"/>
        </w:rPr>
        <w:t xml:space="preserve">Clave de lectura.</w:t>
      </w:r>
      <w:r>
        <w:rPr>
          <w:rFonts w:ascii="Lexend" w:cs="Lexend" w:eastAsia="Lexend" w:hAnsi="Lexend"/>
          <w:color w:val="1A1A1A"/>
          <w:sz w:val="22"/>
          <w:szCs w:val="22"/>
          <w:lang w:val="es-AR"/>
        </w:rPr>
        <w:t xml:space="preserve"> El desplazamiento decisivo es el de la Fase II a la Fase III: el consumo deja de ser un lenguaje dirigido a los otros —estatus, distinción, pertenencia— y pasa a ser una relación del individuo consigo mismo. Eso es lo que vuelve </w:t>
      </w:r>
      <w:r>
        <w:rPr>
          <w:rFonts w:ascii="Lexend" w:cs="Lexend" w:eastAsia="Lexend" w:hAnsi="Lexend"/>
          <w:i/>
          <w:iCs/>
          <w:color w:val="1A1A1A"/>
          <w:sz w:val="22"/>
          <w:szCs w:val="22"/>
          <w:lang w:val="es-AR"/>
        </w:rPr>
        <w:t xml:space="preserve">paradójica</w:t>
      </w:r>
      <w:r>
        <w:rPr>
          <w:rFonts w:ascii="Lexend" w:cs="Lexend" w:eastAsia="Lexend" w:hAnsi="Lexend"/>
          <w:color w:val="1A1A1A"/>
          <w:sz w:val="22"/>
          <w:szCs w:val="22"/>
          <w:lang w:val="es-AR"/>
        </w:rPr>
        <w:t xml:space="preserve"> a la felicidad de la sociedad de hiperconsumo: al desanclarse de la mirada ajena, el consumo ya no tiene un punto de llegada social donde detenerse, y el individuo queda como único responsable de un bienestar que nunca termina de alcanzar.</w:t>
      </w:r>
    </w:p>
    <w:p>
      <w:pPr>
        <w:pStyle w:val="Heading1"/>
        <w:keepNext/>
        <w:spacing w:after="220" w:before="380"/>
        <w:jc w:val="center"/>
      </w:pPr>
      <w:r>
        <w:rPr>
          <w:rFonts w:ascii="Lexend" w:cs="Lexend" w:eastAsia="Lexend" w:hAnsi="Lexend"/>
          <w:b/>
          <w:bCs/>
          <w:color w:val="1A1A1A"/>
          <w:spacing w:val="30"/>
          <w:sz w:val="25"/>
          <w:szCs w:val="25"/>
          <w:lang w:val="es-AR"/>
        </w:rPr>
        <w:t xml:space="preserve">B) REFLEXIÓN: EL TURBOCONSUMIDOR Y LA INDUSTRIA DEL SOFTWARE</w:t>
      </w:r>
    </w:p>
    <w:p>
      <w:pPr>
        <w:spacing w:after="120" w:line="280"/>
        <w:jc w:val="both"/>
      </w:pPr>
      <w:r>
        <w:rPr>
          <w:rFonts w:ascii="Lexend" w:cs="Lexend" w:eastAsia="Lexend" w:hAnsi="Lexend"/>
          <w:color w:val="1A1A1A"/>
          <w:sz w:val="22"/>
          <w:szCs w:val="22"/>
          <w:lang w:val="es-AR"/>
        </w:rPr>
        <w:t xml:space="preserve">La categoría que elijo es la del </w:t>
      </w:r>
      <w:r>
        <w:rPr>
          <w:rFonts w:ascii="Lexend" w:cs="Lexend" w:eastAsia="Lexend" w:hAnsi="Lexend"/>
          <w:b/>
          <w:bCs/>
          <w:color w:val="1A1A1A"/>
          <w:sz w:val="22"/>
          <w:szCs w:val="22"/>
          <w:lang w:val="es-AR"/>
        </w:rPr>
        <w:t xml:space="preserve">turboconsumidor</w:t>
      </w:r>
      <w:r>
        <w:rPr>
          <w:rFonts w:ascii="Lexend" w:cs="Lexend" w:eastAsia="Lexend" w:hAnsi="Lexend"/>
          <w:color w:val="1A1A1A"/>
          <w:sz w:val="22"/>
          <w:szCs w:val="22"/>
          <w:lang w:val="es-AR"/>
        </w:rPr>
        <w:t xml:space="preserve"> —el </w:t>
      </w:r>
      <w:r>
        <w:rPr>
          <w:rFonts w:ascii="Lexend" w:cs="Lexend" w:eastAsia="Lexend" w:hAnsi="Lexend"/>
          <w:i/>
          <w:iCs/>
          <w:color w:val="1A1A1A"/>
          <w:sz w:val="22"/>
          <w:szCs w:val="22"/>
          <w:lang w:val="es-AR"/>
        </w:rPr>
        <w:t xml:space="preserve">homo consumericus</w:t>
      </w:r>
      <w:r>
        <w:rPr>
          <w:rFonts w:ascii="Lexend" w:cs="Lexend" w:eastAsia="Lexend" w:hAnsi="Lexend"/>
          <w:color w:val="1A1A1A"/>
          <w:sz w:val="22"/>
          <w:szCs w:val="22"/>
          <w:lang w:val="es-AR"/>
        </w:rPr>
        <w:t xml:space="preserve"> de tercera generación—, el consumidor desregulado, nómade e infiel que, según Lipovetsky, ya no consume para significar una posición sino para procurarse sensaciones y experiencias. Es la figura con la que trabajo todos los días, aunque en la industria del software no la llamemos así.</w:t>
      </w:r>
    </w:p>
    <w:p>
      <w:pPr>
        <w:pStyle w:val="Heading2"/>
        <w:keepNext/>
        <w:spacing w:after="120" w:before="300"/>
      </w:pPr>
      <w:r>
        <w:rPr>
          <w:rFonts w:ascii="Lexend" w:cs="Lexend" w:eastAsia="Lexend" w:hAnsi="Lexend"/>
          <w:b/>
          <w:bCs/>
          <w:color w:val="1A1A1A"/>
          <w:spacing w:val="18"/>
          <w:sz w:val="21"/>
          <w:szCs w:val="21"/>
          <w:lang w:val="es-AR"/>
        </w:rPr>
        <w:t xml:space="preserve">EL OBJETO QUE DEJÓ DE COMPRARSE</w:t>
      </w:r>
    </w:p>
    <w:p>
      <w:pPr>
        <w:spacing w:after="120" w:line="280"/>
        <w:jc w:val="both"/>
      </w:pPr>
      <w:r>
        <w:rPr>
          <w:rFonts w:ascii="Lexend" w:cs="Lexend" w:eastAsia="Lexend" w:hAnsi="Lexend"/>
          <w:color w:val="1A1A1A"/>
          <w:sz w:val="22"/>
          <w:szCs w:val="22"/>
          <w:lang w:val="es-AR"/>
        </w:rPr>
        <w:t xml:space="preserve">Hasta hace veinte años, el software se compraba como se compraba una heladera en la Fase II: una licencia perpetua, una caja, un objeto duradero que quedaba en propiedad. Hoy prácticamente no queda nada de eso. Se paga una suscripción mensual por el editor, por el hosting, por la base de datos, por el modelo de lenguaje, por el diseño, por la música que suena mientras se programa. No se posee nada: se accede a un flujo continuo. Ese pasaje —de la propiedad del objeto al acceso a un servicio— es, casi textualmente, el pasaje de la segunda a la tercera fase que describe Lipovetsky. El producto ya no es una cosa: es una experiencia sostenida en el tiempo, que hay que renovar todos los meses y que, por lo tanto, hay que volver a hacer deseable todos los meses.</w:t>
      </w:r>
    </w:p>
    <w:p>
      <w:pPr>
        <w:spacing w:after="120" w:line="280"/>
        <w:jc w:val="both"/>
      </w:pPr>
      <w:r>
        <w:rPr>
          <w:rFonts w:ascii="Lexend" w:cs="Lexend" w:eastAsia="Lexend" w:hAnsi="Lexend"/>
          <w:color w:val="1A1A1A"/>
          <w:sz w:val="22"/>
          <w:szCs w:val="22"/>
          <w:lang w:val="es-AR"/>
        </w:rPr>
        <w:t xml:space="preserve">La consecuencia es que la industria terminó poniéndole métrica a la infidelidad del consumidor. El </w:t>
      </w:r>
      <w:r>
        <w:rPr>
          <w:rFonts w:ascii="Lexend" w:cs="Lexend" w:eastAsia="Lexend" w:hAnsi="Lexend"/>
          <w:i/>
          <w:iCs/>
          <w:color w:val="1A1A1A"/>
          <w:sz w:val="22"/>
          <w:szCs w:val="22"/>
          <w:lang w:val="es-AR"/>
        </w:rPr>
        <w:t xml:space="preserve">churn</w:t>
      </w:r>
      <w:r>
        <w:rPr>
          <w:rFonts w:ascii="Lexend" w:cs="Lexend" w:eastAsia="Lexend" w:hAnsi="Lexend"/>
          <w:color w:val="1A1A1A"/>
          <w:sz w:val="22"/>
          <w:szCs w:val="22"/>
          <w:lang w:val="es-AR"/>
        </w:rPr>
        <w:t xml:space="preserve"> —la tasa de gente que se da de baja— es el indicador que ordena buena parte de las decisiones de producto: retención, </w:t>
      </w:r>
      <w:r>
        <w:rPr>
          <w:rFonts w:ascii="Lexend" w:cs="Lexend" w:eastAsia="Lexend" w:hAnsi="Lexend"/>
          <w:i/>
          <w:iCs/>
          <w:color w:val="1A1A1A"/>
          <w:sz w:val="22"/>
          <w:szCs w:val="22"/>
          <w:lang w:val="es-AR"/>
        </w:rPr>
        <w:t xml:space="preserve">engagement</w:t>
      </w:r>
      <w:r>
        <w:rPr>
          <w:rFonts w:ascii="Lexend" w:cs="Lexend" w:eastAsia="Lexend" w:hAnsi="Lexend"/>
          <w:color w:val="1A1A1A"/>
          <w:sz w:val="22"/>
          <w:szCs w:val="22"/>
          <w:lang w:val="es-AR"/>
        </w:rPr>
        <w:t xml:space="preserve">, usuarios activos diarios sobre mensuales. Es difícil encontrar una confirmación empírica más precisa de la tesis de Lipovetsky. Nadie diseñaba para la retención cuando el cliente compraba una licencia y se quedaba diez años con ella; se diseña para la retención porque el consumidor de la Fase III, como escribe el autor, es volátil y «zappea» sin lealtad. Lo que para él es un diagnóstico sociológico, para la industria es una planilla semanal.</w:t>
      </w:r>
    </w:p>
    <w:p>
      <w:pPr>
        <w:pStyle w:val="Heading2"/>
        <w:keepNext/>
        <w:spacing w:after="120" w:before="300"/>
      </w:pPr>
      <w:r>
        <w:rPr>
          <w:rFonts w:ascii="Lexend" w:cs="Lexend" w:eastAsia="Lexend" w:hAnsi="Lexend"/>
          <w:b/>
          <w:bCs/>
          <w:color w:val="1A1A1A"/>
          <w:spacing w:val="18"/>
          <w:sz w:val="21"/>
          <w:szCs w:val="21"/>
          <w:lang w:val="es-AR"/>
        </w:rPr>
        <w:t xml:space="preserve">DEL USO A LA SENSACIÓN</w:t>
      </w:r>
    </w:p>
    <w:p>
      <w:pPr>
        <w:spacing w:after="120" w:line="280"/>
        <w:jc w:val="both"/>
      </w:pPr>
      <w:r>
        <w:rPr>
          <w:rFonts w:ascii="Lexend" w:cs="Lexend" w:eastAsia="Lexend" w:hAnsi="Lexend"/>
          <w:color w:val="1A1A1A"/>
          <w:sz w:val="22"/>
          <w:szCs w:val="22"/>
          <w:lang w:val="es-AR"/>
        </w:rPr>
        <w:t xml:space="preserve">El segundo rasgo que reconozco es el desplazamiento del valor de uso al valor emocional. Ningún producto se vende hoy por lo que hace. Se vende por cómo se siente usarlo: la animación al abrir, el </w:t>
      </w:r>
      <w:r>
        <w:rPr>
          <w:rFonts w:ascii="Lexend" w:cs="Lexend" w:eastAsia="Lexend" w:hAnsi="Lexend"/>
          <w:i/>
          <w:iCs/>
          <w:color w:val="1A1A1A"/>
          <w:sz w:val="22"/>
          <w:szCs w:val="22"/>
          <w:lang w:val="es-AR"/>
        </w:rPr>
        <w:t xml:space="preserve">onboarding</w:t>
      </w:r>
      <w:r>
        <w:rPr>
          <w:rFonts w:ascii="Lexend" w:cs="Lexend" w:eastAsia="Lexend" w:hAnsi="Lexend"/>
          <w:color w:val="1A1A1A"/>
          <w:sz w:val="22"/>
          <w:szCs w:val="22"/>
          <w:lang w:val="es-AR"/>
        </w:rPr>
        <w:t xml:space="preserve"> cuidado, la racha de días consecutivos que no hay que romper, la notificación que llega justo cuando uno estaba por dejar la app. En el vocabulario de la industria esto tiene nombre propio —</w:t>
      </w:r>
      <w:r>
        <w:rPr>
          <w:rFonts w:ascii="Lexend" w:cs="Lexend" w:eastAsia="Lexend" w:hAnsi="Lexend"/>
          <w:i/>
          <w:iCs/>
          <w:color w:val="1A1A1A"/>
          <w:sz w:val="22"/>
          <w:szCs w:val="22"/>
          <w:lang w:val="es-AR"/>
        </w:rPr>
        <w:t xml:space="preserve">delight</w:t>
      </w:r>
      <w:r>
        <w:rPr>
          <w:rFonts w:ascii="Lexend" w:cs="Lexend" w:eastAsia="Lexend" w:hAnsi="Lexend"/>
          <w:color w:val="1A1A1A"/>
          <w:sz w:val="22"/>
          <w:szCs w:val="22"/>
          <w:lang w:val="es-AR"/>
        </w:rPr>
        <w:t xml:space="preserve">— y es un objetivo de diseño explícito, medible, con presupuesto asignado. Lipovetsky lo formula así al caracterizar el tercer ciclo:</w:t>
      </w:r>
    </w:p>
    <w:p>
      <w:pPr>
        <w:spacing w:after="260" w:before="180" w:line="264"/>
        <w:ind w:left="454" w:right="454"/>
        <w:jc w:val="both"/>
      </w:pPr>
      <w:r>
        <w:rPr>
          <w:rFonts w:ascii="Lexend" w:cs="Lexend" w:eastAsia="Lexend" w:hAnsi="Lexend"/>
          <w:color w:val="1A1A1A"/>
          <w:sz w:val="20"/>
          <w:szCs w:val="20"/>
          <w:lang w:val="es-AR"/>
        </w:rPr>
        <w:t xml:space="preserve">«El consumo “para uno mismo” ha suplantado al consumo “para el otro”, en sintonía con el ascenso de los valores individualistas.» — Lipovetsky, G., </w:t>
      </w:r>
      <w:r>
        <w:rPr>
          <w:rFonts w:ascii="Lexend" w:cs="Lexend" w:eastAsia="Lexend" w:hAnsi="Lexend"/>
          <w:i/>
          <w:iCs/>
          <w:color w:val="1A1A1A"/>
          <w:sz w:val="20"/>
          <w:szCs w:val="20"/>
          <w:lang w:val="es-AR"/>
        </w:rPr>
        <w:t xml:space="preserve">La felicidad paradójica</w:t>
      </w:r>
      <w:r>
        <w:rPr>
          <w:rFonts w:ascii="Lexend" w:cs="Lexend" w:eastAsia="Lexend" w:hAnsi="Lexend"/>
          <w:color w:val="1A1A1A"/>
          <w:sz w:val="20"/>
          <w:szCs w:val="20"/>
          <w:lang w:val="es-AR"/>
        </w:rPr>
        <w:t xml:space="preserve">, Anagrama, Barcelona, 2007.</w:t>
      </w:r>
    </w:p>
    <w:p>
      <w:pPr>
        <w:spacing w:after="120" w:line="280"/>
        <w:jc w:val="both"/>
      </w:pPr>
      <w:r>
        <w:rPr>
          <w:rFonts w:ascii="Lexend" w:cs="Lexend" w:eastAsia="Lexend" w:hAnsi="Lexend"/>
          <w:color w:val="1A1A1A"/>
          <w:sz w:val="22"/>
          <w:szCs w:val="22"/>
          <w:lang w:val="es-AR"/>
        </w:rPr>
        <w:t xml:space="preserve">Esa frase describe mi trabajo mejor de lo que yo lo describiría. Una aplicación de productividad no se compra para mostrarle nada a nadie: se compra para sentir que uno tiene la vida bajo control. Lo que se vende es una emoción privada, y el producto es el soporte de esa emoción.</w:t>
      </w:r>
    </w:p>
    <w:p>
      <w:pPr>
        <w:pStyle w:val="Heading2"/>
        <w:keepNext/>
        <w:spacing w:after="120" w:before="300"/>
      </w:pPr>
      <w:r>
        <w:rPr>
          <w:rFonts w:ascii="Lexend" w:cs="Lexend" w:eastAsia="Lexend" w:hAnsi="Lexend"/>
          <w:b/>
          <w:bCs/>
          <w:color w:val="1A1A1A"/>
          <w:spacing w:val="18"/>
          <w:sz w:val="21"/>
          <w:szCs w:val="21"/>
          <w:lang w:val="es-AR"/>
        </w:rPr>
        <w:t xml:space="preserve">EL LUGAR INCÓMODO: NO SOY SOLO EL CONSUMIDOR</w:t>
      </w:r>
    </w:p>
    <w:p>
      <w:pPr>
        <w:spacing w:after="120" w:line="280"/>
        <w:jc w:val="both"/>
      </w:pPr>
      <w:r>
        <w:rPr>
          <w:rFonts w:ascii="Lexend" w:cs="Lexend" w:eastAsia="Lexend" w:hAnsi="Lexend"/>
          <w:color w:val="1A1A1A"/>
          <w:sz w:val="22"/>
          <w:szCs w:val="22"/>
          <w:lang w:val="es-AR"/>
        </w:rPr>
        <w:t xml:space="preserve">Acá aparece la parte que me interesa señalar, porque es la que la consigna vuelve personal. Yo no ocupo únicamente el lugar del hiperconsumidor: ocupo también el del que fabrica el dispositivo. Cuando escribo una pantalla de bienvenida, cuando decido cuándo dispara una notificación o cómo se ve el momento en que el usuario logra algo, estoy del lado de los que administran el deseo, no del lado de los que lo padecen. Es la misma posición ambigua que ya habíamos trabajado en esta materia con </w:t>
      </w:r>
      <w:r>
        <w:rPr>
          <w:rFonts w:ascii="Lexend" w:cs="Lexend" w:eastAsia="Lexend" w:hAnsi="Lexend"/>
          <w:i/>
          <w:iCs/>
          <w:color w:val="1A1A1A"/>
          <w:sz w:val="22"/>
          <w:szCs w:val="22"/>
          <w:lang w:val="es-AR"/>
        </w:rPr>
        <w:t xml:space="preserve">Recursos Humanos</w:t>
      </w:r>
      <w:r>
        <w:rPr>
          <w:rFonts w:ascii="Lexend" w:cs="Lexend" w:eastAsia="Lexend" w:hAnsi="Lexend"/>
          <w:color w:val="1A1A1A"/>
          <w:sz w:val="22"/>
          <w:szCs w:val="22"/>
          <w:lang w:val="es-AR"/>
        </w:rPr>
        <w:t xml:space="preserve">: el que diseña el instrumento no es un observador externo del proceso.</w:t>
      </w:r>
    </w:p>
    <w:p>
      <w:pPr>
        <w:spacing w:after="120" w:line="280"/>
        <w:jc w:val="both"/>
      </w:pPr>
      <w:r>
        <w:rPr>
          <w:rFonts w:ascii="Lexend" w:cs="Lexend" w:eastAsia="Lexend" w:hAnsi="Lexend"/>
          <w:color w:val="1A1A1A"/>
          <w:sz w:val="22"/>
          <w:szCs w:val="22"/>
          <w:lang w:val="es-AR"/>
        </w:rPr>
        <w:t xml:space="preserve">Y la paradoja del título me toca en las dos posiciones. Como consumidor de herramientas, tengo hoy más recursos disponibles que cualquier estudiante de sistemas de hace diez años —cursos, frameworks, documentación, asistentes— y una sensación bastante estable de estar siempre atrasado. La abundancia de opciones no produjo tranquilidad: produjo la ansiedad permanente de estar eligiendo mal, que es exactamente el malestar que Lipovetsky describe en el corazón de la sociedad de hiperconsumo. Nunca hubo tanta oferta de bienestar, ni tanta gente convencida de que el bienestar está en la próxima suscripción.</w:t>
      </w:r>
    </w:p>
    <w:p>
      <w:pPr>
        <w:pStyle w:val="Heading2"/>
        <w:keepNext/>
        <w:spacing w:after="120" w:before="300"/>
      </w:pPr>
      <w:r>
        <w:rPr>
          <w:rFonts w:ascii="Lexend" w:cs="Lexend" w:eastAsia="Lexend" w:hAnsi="Lexend"/>
          <w:b/>
          <w:bCs/>
          <w:color w:val="1A1A1A"/>
          <w:spacing w:val="18"/>
          <w:sz w:val="21"/>
          <w:szCs w:val="21"/>
          <w:lang w:val="es-AR"/>
        </w:rPr>
        <w:t xml:space="preserve">UN REPARO</w:t>
      </w:r>
    </w:p>
    <w:p>
      <w:pPr>
        <w:spacing w:after="120" w:line="280"/>
        <w:jc w:val="both"/>
      </w:pPr>
      <w:r>
        <w:rPr>
          <w:rFonts w:ascii="Lexend" w:cs="Lexend" w:eastAsia="Lexend" w:hAnsi="Lexend"/>
          <w:color w:val="1A1A1A"/>
          <w:sz w:val="22"/>
          <w:szCs w:val="22"/>
          <w:lang w:val="es-AR"/>
        </w:rPr>
        <w:t xml:space="preserve">Con todo, hay un punto en el que el diagnóstico me parece corto. Lipovetsky insiste en el carácter </w:t>
      </w:r>
      <w:r>
        <w:rPr>
          <w:rFonts w:ascii="Lexend" w:cs="Lexend" w:eastAsia="Lexend" w:hAnsi="Lexend"/>
          <w:i/>
          <w:iCs/>
          <w:color w:val="1A1A1A"/>
          <w:sz w:val="22"/>
          <w:szCs w:val="22"/>
          <w:lang w:val="es-AR"/>
        </w:rPr>
        <w:t xml:space="preserve">desregulado</w:t>
      </w:r>
      <w:r>
        <w:rPr>
          <w:rFonts w:ascii="Lexend" w:cs="Lexend" w:eastAsia="Lexend" w:hAnsi="Lexend"/>
          <w:color w:val="1A1A1A"/>
          <w:sz w:val="22"/>
          <w:szCs w:val="22"/>
          <w:lang w:val="es-AR"/>
        </w:rPr>
        <w:t xml:space="preserve"> y soberano del hiperconsumidor: alguien libre, imprevisible, que ya no obedece a los códigos de clase. Desde adentro de la industria, esa soberanía se ve distinta. Cada pantalla que ese consumidor «elige libremente» pasó antes por un test A/B, por telemetría, por análisis de embudo. La desregulación del consumidor convive con una regulación del consumo cada vez más fina, que no opera por normas sociales visibles sino por diseño de la interfaz. El turboconsumidor es, en ese sentido, menos nómade de lo que cree: elige mucho, pero dentro de un espacio de opciones que alguien optimizó para que siga eligiendo.</w:t>
      </w:r>
    </w:p>
    <w:p>
      <w:pPr>
        <w:spacing w:after="120" w:line="280"/>
        <w:jc w:val="both"/>
      </w:pPr>
      <w:r>
        <w:rPr>
          <w:rFonts w:ascii="Lexend" w:cs="Lexend" w:eastAsia="Lexend" w:hAnsi="Lexend"/>
          <w:color w:val="1A1A1A"/>
          <w:sz w:val="22"/>
          <w:szCs w:val="22"/>
          <w:lang w:val="es-AR"/>
        </w:rPr>
        <w:t xml:space="preserve">Eso no invalida la categoría —la confirma—, pero le agrega lo que a mi juicio le falta: la pregunta por quién construye el escenario en el que esa libertad se ejerce. Es, de nuevo, una pregunta de ingeniería antes que de sociología.</w:t>
      </w:r>
    </w:p>
    <w:p>
      <w:pPr>
        <w:pStyle w:val="Heading1"/>
        <w:keepNext/>
        <w:spacing w:after="220" w:before="380"/>
        <w:jc w:val="center"/>
      </w:pPr>
      <w:r>
        <w:rPr>
          <w:rFonts w:ascii="Lexend" w:cs="Lexend" w:eastAsia="Lexend" w:hAnsi="Lexend"/>
          <w:b/>
          <w:bCs/>
          <w:color w:val="1A1A1A"/>
          <w:spacing w:val="30"/>
          <w:sz w:val="25"/>
          <w:szCs w:val="25"/>
          <w:lang w:val="es-AR"/>
        </w:rPr>
        <w:t xml:space="preserve">BIBLIOGRAFÍA</w:t>
      </w:r>
    </w:p>
    <w:p>
      <w:pPr>
        <w:pStyle w:val="ListParagraph"/>
        <w:numPr>
          <w:ilvl w:val="0"/>
          <w:numId w:val="1"/>
        </w:numPr>
        <w:spacing w:after="100" w:line="276"/>
        <w:jc w:val="both"/>
      </w:pPr>
      <w:r>
        <w:rPr>
          <w:rFonts w:ascii="Lexend" w:cs="Lexend" w:eastAsia="Lexend" w:hAnsi="Lexend"/>
          <w:color w:val="1A1A1A"/>
          <w:sz w:val="22"/>
          <w:szCs w:val="22"/>
          <w:lang w:val="es-AR"/>
        </w:rPr>
        <w:t xml:space="preserve">Lipovetsky, G., </w:t>
      </w:r>
      <w:r>
        <w:rPr>
          <w:rFonts w:ascii="Lexend" w:cs="Lexend" w:eastAsia="Lexend" w:hAnsi="Lexend"/>
          <w:i/>
          <w:iCs/>
          <w:color w:val="1A1A1A"/>
          <w:sz w:val="22"/>
          <w:szCs w:val="22"/>
          <w:lang w:val="es-AR"/>
        </w:rPr>
        <w:t xml:space="preserve">La felicidad paradójica. Ensayo sobre la sociedad de hiperconsumo</w:t>
      </w:r>
      <w:r>
        <w:rPr>
          <w:rFonts w:ascii="Lexend" w:cs="Lexend" w:eastAsia="Lexend" w:hAnsi="Lexend"/>
          <w:color w:val="1A1A1A"/>
          <w:sz w:val="22"/>
          <w:szCs w:val="22"/>
          <w:lang w:val="es-AR"/>
        </w:rPr>
        <w:t xml:space="preserve">, Anagrama, Barcelona, 2007 (ed. original: </w:t>
      </w:r>
      <w:r>
        <w:rPr>
          <w:rFonts w:ascii="Lexend" w:cs="Lexend" w:eastAsia="Lexend" w:hAnsi="Lexend"/>
          <w:i/>
          <w:iCs/>
          <w:color w:val="1A1A1A"/>
          <w:sz w:val="22"/>
          <w:szCs w:val="22"/>
          <w:lang w:val="es-AR"/>
        </w:rPr>
        <w:t xml:space="preserve">Le bonheur paradoxal. Essai sur la société d'hyperconsommation</w:t>
      </w:r>
      <w:r>
        <w:rPr>
          <w:rFonts w:ascii="Lexend" w:cs="Lexend" w:eastAsia="Lexend" w:hAnsi="Lexend"/>
          <w:color w:val="1A1A1A"/>
          <w:sz w:val="22"/>
          <w:szCs w:val="22"/>
          <w:lang w:val="es-AR"/>
        </w:rPr>
        <w:t xml:space="preserve">, Gallimard, París, 2006).</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Lexend" w:cs="Lexend" w:eastAsia="Lexend" w:hAnsi="Lexend"/>
        <w:color w:val="6B7075"/>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0"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nsecutiveHyphenLimit w:val="2"/>
  <w:doNotHyphenateCap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exend" w:cs="Lexend" w:eastAsia="Lexend" w:hAnsi="Lexend"/>
        <w:color w:val="1A1A1A"/>
        <w:sz w:val="22"/>
        <w:szCs w:val="22"/>
        <w:lang w:val="es-A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2026-09-20T13:19:08.684Z</dcterms:created>
  <dcterms:modified xsi:type="dcterms:W3CDTF">2026-09-20T13:19:08.684Z</dcterms:modified>
</cp:coreProperties>
</file>

<file path=docProps/custom.xml><?xml version="1.0" encoding="utf-8"?>
<Properties xmlns="http://schemas.openxmlformats.org/officeDocument/2006/custom-properties" xmlns:vt="http://schemas.openxmlformats.org/officeDocument/2006/docPropsVTypes"/>
</file>