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20" w:before="380"/>
        <w:jc w:val="center"/>
      </w:pPr>
      <w:r>
        <w:rPr>
          <w:rFonts w:ascii="Arial" w:cs="Arial" w:eastAsia="Arial" w:hAnsi="Arial"/>
          <w:b/>
          <w:bCs/>
          <w:color w:val="1A1A1A"/>
          <w:spacing w:val="30"/>
          <w:sz w:val="25"/>
          <w:szCs w:val="25"/>
          <w:lang w:val="es-AR"/>
        </w:rPr>
        <w:t xml:space="preserve">ETAPA 3 — VALIDACIÓN DEL PUNTO 3</w:t>
      </w:r>
    </w:p>
    <w:p>
      <w:pPr>
        <w:spacing w:after="260" w:line="288"/>
        <w:jc w:val="center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Proyecto de TI para Personal (Telecom Argentina) — Proceso de instalación de internet con fibra óptica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2313"/>
        <w:gridCol w:w="7325"/>
      </w:tblGrid>
      <w:tr>
        <w:trPr>
          <w:cantSplit/>
          <w:tblHeader w:val="false"/>
        </w:trPr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Cátedra</w:t>
            </w:r>
          </w:p>
        </w:tc>
        <w:tc>
          <w:tcPr>
            <w:tcW w:type="dxa" w:w="732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Administración de Sistemas de Información — 4º Año Ingeniería en Sistemas de Información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Comisión</w:t>
            </w:r>
          </w:p>
        </w:tc>
        <w:tc>
          <w:tcPr>
            <w:tcW w:type="dxa" w:w="732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403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Grupo</w:t>
            </w:r>
          </w:p>
        </w:tc>
        <w:tc>
          <w:tcPr>
            <w:tcW w:type="dxa" w:w="732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310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Integrantes</w:t>
            </w:r>
          </w:p>
        </w:tc>
        <w:tc>
          <w:tcPr>
            <w:tcW w:type="dxa" w:w="7325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53535 Bonadeo, Juan Cruz · 52674 Casermeiro, Gonzalo · 53543 De la Rosa, Valentín Yael · 53215 Lezcano, Diego · 52688 Lurati, Ignacio</w:t>
            </w:r>
          </w:p>
        </w:tc>
      </w:tr>
    </w:tbl>
    <w:p>
      <w:pPr>
        <w:spacing w:after="160"/>
      </w:pPr>
    </w:p>
    <w:p>
      <w:pPr>
        <w:spacing w:after="160" w:before="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1. PROYECTO PROPUESTO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Problema o necesidad detectada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El proceso de instalación de internet con fibra óptica, relevado y modelado en la Etapa 1, presenta tres debilidades documentadas en las etapas anteriores y que hoy no tienen tratamiento: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Falta de trazabilidad de la orden de trabajo.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El estado real de la instalación no está disponible en tiempo real para las áreas que lo necesitan, lo que genera reclamos duplicados y consultas manuales entre Operaciones, NOC y Comercial.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Ausencia de criterio de priorización en la cola de órdenes de trabajo.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Identificado en la Etapa 2 como riesgo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R07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, severidad 12,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sin plan de tratamiento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Falta de control de competencias técnicas al asignar una orden.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Identificado en la Etapa 2 como riesgo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R04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—técnico sin capacitación en el nuevo modelo de ONT—, severidad 12,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también sin plan de tratamiento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.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Proyecto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Implementar una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plataforma de gestión de órdenes de trabajo con aplicación móvil de campo (OT-Campo)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que resuelva la falta de trazabilidad, priorización y control de competencias técnicas en el proceso de instalación de fibra óptica.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El proyecto es el tratamiento de R04 y R07, y aporta además a la mitigación de R06 (elimina aguas arriba la causa de los reclamos duplicados) y de R05, dado que la aplicación de campo es el control ya comprometido en la Etapa 2 para que los técnicos contratistas operen sin acceso a los sistemas de backend.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Trazabilidad con las etapas anteriores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2120"/>
        <w:gridCol w:w="4626"/>
        <w:gridCol w:w="2892"/>
      </w:tblGrid>
      <w:tr>
        <w:trPr>
          <w:cantSplit/>
          <w:tblHeader/>
        </w:trPr>
        <w:tc>
          <w:tcPr>
            <w:tcW w:type="dxa" w:w="2120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Origen</w:t>
            </w:r>
          </w:p>
        </w:tc>
        <w:tc>
          <w:tcPr>
            <w:tcW w:type="dxa" w:w="4626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Texto ya comprometido</w:t>
            </w:r>
          </w:p>
        </w:tc>
        <w:tc>
          <w:tcPr>
            <w:tcW w:type="dxa" w:w="289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Cómo lo ataca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Objetivo de TI (Etapa 1)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Implementar una aplicación de gestión para técnicos de campo y aumentar la productividad operativa en un 5%</w:t>
            </w:r>
          </w:p>
        </w:tc>
        <w:tc>
          <w:tcPr>
            <w:tcW w:type="dxa" w:w="28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Es el alcance del proyecto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Meta de TI (Etapa 1)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Asignación optimizada de técnicos</w:t>
            </w:r>
          </w:p>
        </w:tc>
        <w:tc>
          <w:tcPr>
            <w:tcW w:type="dxa" w:w="28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Motor de asignación por competencia, zona, carga y ventana horaria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Objetivo de negocio (Etapa 1)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Aumentar el rendimiento de los técnicos en un 5% (instalaciones sobre horas de trabajo)</w:t>
            </w:r>
          </w:p>
        </w:tc>
        <w:tc>
          <w:tcPr>
            <w:tcW w:type="dxa" w:w="28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Objetivo O1, con el mismo indicador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Meta de negocio (Etapa 1)</w:t>
            </w:r>
          </w:p>
        </w:tc>
        <w:tc>
          <w:tcPr>
            <w:tcW w:type="dxa" w:w="462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Mejorar el tiempo de instalación</w:t>
            </w:r>
          </w:p>
        </w:tc>
        <w:tc>
          <w:tcPr>
            <w:tcW w:type="dxa" w:w="289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Objetivo O2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Proceso afectado y usuarios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Afecta las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actividades 3 a 9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del proceso modelado en la Etapa 1. Las actividades 1 y 2 —recepción de la solicitud y verificación de cobertura— quedan fuera y siguen gestionándose en el CRM.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Usuarios: técnico instalador de campo (propio y contratista), supervisor de instalaciones, NOC, área comercial (consulta), logística y almacén, y Gerencia de Operaciones. El cliente final no es usuario: recibe notificaciones y firma la conformidad.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Alcance — qué incluye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Módulo de despacho y priorización con cola única · motor de asignación por competencia certificada, zona, carga y ventana horaria · aplicación móvil </w:t>
      </w:r>
      <w:r>
        <w:rPr>
          <w:rFonts w:ascii="Arial" w:cs="Arial" w:eastAsia="Arial" w:hAnsi="Arial"/>
          <w:i/>
          <w:iCs/>
          <w:color w:val="1A1A1A"/>
          <w:sz w:val="22"/>
          <w:szCs w:val="22"/>
          <w:lang w:val="es-AR"/>
        </w:rPr>
        <w:t xml:space="preserve">offline-first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con checklist por modelo de ONT, mediciones ópticas, evidencia fotográfica, geolocalización y conformidad digital del cliente · integraciones con SGOT, CRM, base de datos y NMS · seguridad con inicio de sesión único, doble factor y baja automática de credenciales · tablero de indicadores.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Alcance — qué NO incluye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El rediseño del flujo de escalamiento del CRM (R06), que ya tiene plan de tratamiento propio.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El reemplazo o la migración del CRM, del SGOT o de la base de datos.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Obra civil, tendido troncal, ampliación de nodos (R11) y mantenimiento preventivo del cable (R08).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El reemplazo del firewall (R03), la redundancia del balanceador (R09) y la correlación de eventos del NMS (R10).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Venta, facturación y recupero de clientes.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Otros procesos de campo: reparaciones, mudanzas y desinstalaciones.</w:t>
      </w:r>
    </w:p>
    <w:p>
      <w:pPr>
        <w:pStyle w:val="ListParagraph"/>
        <w:numPr>
          <w:ilvl w:val="0"/>
          <w:numId w:val="1"/>
        </w:numPr>
        <w:spacing w:after="100" w:line="276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La adquisición de vehículos y fusionadoras.</w:t>
      </w:r>
    </w:p>
    <w:p>
      <w:pPr>
        <w:spacing w:after="160" w:before="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2. OBJETIVOS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482"/>
        <w:gridCol w:w="2120"/>
        <w:gridCol w:w="2602"/>
        <w:gridCol w:w="1542"/>
        <w:gridCol w:w="1253"/>
        <w:gridCol w:w="1639"/>
      </w:tblGrid>
      <w:tr>
        <w:trPr>
          <w:cantSplit/>
          <w:tblHeader/>
        </w:trPr>
        <w:tc>
          <w:tcPr>
            <w:tcW w:type="dxa" w:w="48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#</w:t>
            </w:r>
          </w:p>
        </w:tc>
        <w:tc>
          <w:tcPr>
            <w:tcW w:type="dxa" w:w="2120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Objetivo</w:t>
            </w:r>
          </w:p>
        </w:tc>
        <w:tc>
          <w:tcPr>
            <w:tcW w:type="dxa" w:w="260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Indicador</w:t>
            </w:r>
          </w:p>
        </w:tc>
        <w:tc>
          <w:tcPr>
            <w:tcW w:type="dxa" w:w="154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Línea base</w:t>
            </w:r>
          </w:p>
        </w:tc>
        <w:tc>
          <w:tcPr>
            <w:tcW w:type="dxa" w:w="1253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Meta</w:t>
            </w:r>
          </w:p>
        </w:tc>
        <w:tc>
          <w:tcPr>
            <w:tcW w:type="dxa" w:w="1639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Plazo</w:t>
            </w:r>
          </w:p>
        </w:tc>
      </w:tr>
      <w:tr>
        <w:trPr>
          <w:cantSplit/>
          <w:tblHeader w:val="false"/>
        </w:trPr>
        <w:tc>
          <w:tcPr>
            <w:tcW w:type="dxa" w:w="4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O1</w:t>
            </w:r>
          </w:p>
        </w:tc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Aumentar la productividad del técnico de campo</w:t>
            </w:r>
          </w:p>
        </w:tc>
        <w:tc>
          <w:tcPr>
            <w:tcW w:type="dxa" w:w="26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Instalaciones finalizadas conformes ÷ horas-técnico disponibles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0,50 inst./hora-técnico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  <w:lang w:val="es-AR"/>
              </w:rPr>
              <w:t xml:space="preserve">(supuesto)</w:t>
            </w:r>
          </w:p>
        </w:tc>
        <w:tc>
          <w:tcPr>
            <w:tcW w:type="dxa" w:w="12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0,525 (+5%)</w:t>
            </w:r>
          </w:p>
        </w:tc>
        <w:tc>
          <w:tcPr>
            <w:tcW w:type="dxa" w:w="16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6 meses desde la puesta en producción</w:t>
            </w:r>
          </w:p>
        </w:tc>
      </w:tr>
      <w:tr>
        <w:trPr>
          <w:cantSplit/>
          <w:tblHeader w:val="false"/>
        </w:trPr>
        <w:tc>
          <w:tcPr>
            <w:tcW w:type="dxa" w:w="4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O2</w:t>
            </w:r>
          </w:p>
        </w:tc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Reducir la latencia de registro del cierre de la orden</w:t>
            </w:r>
          </w:p>
        </w:tc>
        <w:tc>
          <w:tcPr>
            <w:tcW w:type="dxa" w:w="26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% de órdenes cerradas dentro de los 15 minutos de terminada la visita, y tiempo medio entre asignación y cierre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20% · 26 h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  <w:lang w:val="es-AR"/>
              </w:rPr>
              <w:t xml:space="preserve">(supuesto)</w:t>
            </w:r>
          </w:p>
        </w:tc>
        <w:tc>
          <w:tcPr>
            <w:tcW w:type="dxa" w:w="12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≥90% · ≤8 h</w:t>
            </w:r>
          </w:p>
        </w:tc>
        <w:tc>
          <w:tcPr>
            <w:tcW w:type="dxa" w:w="16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Mes 4, sostenido 3 meses</w:t>
            </w:r>
          </w:p>
        </w:tc>
      </w:tr>
      <w:tr>
        <w:trPr>
          <w:cantSplit/>
          <w:tblHeader w:val="false"/>
        </w:trPr>
        <w:tc>
          <w:tcPr>
            <w:tcW w:type="dxa" w:w="4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O3</w:t>
            </w:r>
          </w:p>
        </w:tc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Reducir las visitas fallidas por causa evitable</w:t>
            </w:r>
          </w:p>
        </w:tc>
        <w:tc>
          <w:tcPr>
            <w:tcW w:type="dxa" w:w="26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Órdenes reprogramadas por "técnico sin competencia" o "kit incompleto" ÷ órdenes despachadas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12%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  <w:lang w:val="es-AR"/>
              </w:rPr>
              <w:t xml:space="preserve">(supuesto)</w:t>
            </w:r>
          </w:p>
        </w:tc>
        <w:tc>
          <w:tcPr>
            <w:tcW w:type="dxa" w:w="12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≤6%</w:t>
            </w:r>
          </w:p>
        </w:tc>
        <w:tc>
          <w:tcPr>
            <w:tcW w:type="dxa" w:w="16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6 meses desde la puesta en producción</w:t>
            </w:r>
          </w:p>
        </w:tc>
      </w:tr>
      <w:tr>
        <w:trPr>
          <w:cantSplit/>
          <w:tblHeader w:val="false"/>
        </w:trPr>
        <w:tc>
          <w:tcPr>
            <w:tcW w:type="dxa" w:w="48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O4</w:t>
            </w:r>
          </w:p>
        </w:tc>
        <w:tc>
          <w:tcPr>
            <w:tcW w:type="dxa" w:w="2120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Asegurar el cumplimiento de la priorización de la cola</w:t>
            </w:r>
          </w:p>
        </w:tc>
        <w:tc>
          <w:tcPr>
            <w:tcW w:type="dxa" w:w="260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% de órdenes despachadas según el orden del motor, y % de cumplimiento del SLA de primera respuesta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No medible en la situación actual — esa imposibilidad </w:t>
            </w: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es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 la definición de R07</w:t>
            </w:r>
          </w:p>
        </w:tc>
        <w:tc>
          <w:tcPr>
            <w:tcW w:type="dxa" w:w="1253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≥95% · ≥90%</w:t>
            </w:r>
          </w:p>
        </w:tc>
        <w:tc>
          <w:tcPr>
            <w:tcW w:type="dxa" w:w="1639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Mes 3 desde la puesta en producción</w:t>
            </w:r>
          </w:p>
        </w:tc>
      </w:tr>
    </w:tbl>
    <w:p>
      <w:pPr>
        <w:spacing w:after="160"/>
      </w:pPr>
    </w:p>
    <w:p>
      <w:pPr>
        <w:spacing w:after="260" w:before="180" w:line="264"/>
        <w:ind w:left="454" w:right="454"/>
        <w:jc w:val="both"/>
      </w:pPr>
      <w:r>
        <w:rPr>
          <w:rFonts w:ascii="Arial" w:cs="Arial" w:eastAsia="Arial" w:hAnsi="Arial"/>
          <w:b/>
          <w:bCs/>
          <w:color w:val="1A1A1A"/>
          <w:sz w:val="20"/>
          <w:szCs w:val="20"/>
          <w:lang w:val="es-AR"/>
        </w:rPr>
        <w:t xml:space="preserve">Sobre las líneas base.</w:t>
      </w:r>
      <w:r>
        <w:rPr>
          <w:rFonts w:ascii="Arial" w:cs="Arial" w:eastAsia="Arial" w:hAnsi="Arial"/>
          <w:color w:val="1A1A1A"/>
          <w:sz w:val="20"/>
          <w:szCs w:val="20"/>
          <w:lang w:val="es-AR"/>
        </w:rPr>
        <w:t xml:space="preserve"> Los valores marcados como </w:t>
      </w:r>
      <w:r>
        <w:rPr>
          <w:rFonts w:ascii="Arial" w:cs="Arial" w:eastAsia="Arial" w:hAnsi="Arial"/>
          <w:i/>
          <w:iCs/>
          <w:color w:val="1A1A1A"/>
          <w:sz w:val="20"/>
          <w:szCs w:val="20"/>
          <w:lang w:val="es-AR"/>
        </w:rPr>
        <w:t xml:space="preserve">supuesto</w:t>
      </w:r>
      <w:r>
        <w:rPr>
          <w:rFonts w:ascii="Arial" w:cs="Arial" w:eastAsia="Arial" w:hAnsi="Arial"/>
          <w:color w:val="1A1A1A"/>
          <w:sz w:val="20"/>
          <w:szCs w:val="20"/>
          <w:lang w:val="es-AR"/>
        </w:rPr>
        <w:t xml:space="preserve"> son estimaciones: las Etapas 1 y 2 no relevaron indicadores de operación. La propuesta es declararlos explícitamente como supuestos y </w:t>
      </w:r>
      <w:r>
        <w:rPr>
          <w:rFonts w:ascii="Arial" w:cs="Arial" w:eastAsia="Arial" w:hAnsi="Arial"/>
          <w:b/>
          <w:bCs/>
          <w:color w:val="1A1A1A"/>
          <w:sz w:val="20"/>
          <w:szCs w:val="20"/>
          <w:lang w:val="es-AR"/>
        </w:rPr>
        <w:t xml:space="preserve">poner su medición formal como entregable propio de la fase de Relevamiento y análisis</w:t>
      </w:r>
      <w:r>
        <w:rPr>
          <w:rFonts w:ascii="Arial" w:cs="Arial" w:eastAsia="Arial" w:hAnsi="Arial"/>
          <w:color w:val="1A1A1A"/>
          <w:sz w:val="20"/>
          <w:szCs w:val="20"/>
          <w:lang w:val="es-AR"/>
        </w:rPr>
        <w:t xml:space="preserve">, recalibrando las metas sobre los valores reales. Es la consulta 2 del final.</w:t>
      </w:r>
    </w:p>
    <w:p>
      <w:pPr>
        <w:spacing w:after="160" w:before="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3. ALTERNATIVAS Y SELECCIÓN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Las tres alternativas resuelven el mismo problema y construyen el mismo alcance; cambia el modo de construcción.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Alternativa</w:t>
            </w:r>
          </w:p>
        </w:tc>
        <w:tc>
          <w:tcPr>
            <w:tcW w:type="dxa" w:w="713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A1 — Desarrollo interno</w:t>
            </w:r>
          </w:p>
        </w:tc>
        <w:tc>
          <w:tcPr>
            <w:tcW w:type="dxa" w:w="71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El área de sistemas de Personal diseña y desarrolla la plataforma, adquiriendo de mercado solo componentes acotados: servicio de mapas y geolocalización, MDM, dispositivos rugerizados e infraestructura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A2 — SaaS FSM configurable</w:t>
            </w:r>
          </w:p>
        </w:tc>
        <w:tc>
          <w:tcPr>
            <w:tcW w:type="dxa" w:w="71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Se contrata una plataforma de 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  <w:lang w:val="es-AR"/>
              </w:rPr>
              <w:t xml:space="preserve">Field Service Management</w:t>
            </w: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 de mercado y se configura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A3 — Desarrollo tercerizado</w:t>
            </w:r>
          </w:p>
        </w:tc>
        <w:tc>
          <w:tcPr>
            <w:tcW w:type="dxa" w:w="713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Una consultora la desarrolla a medida, con hosting en infraestructura de Personal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Justificación de los pesos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Los pesos reflejan el análisis de riesgos que el propio grupo hizo en la Etapa 2. Allí se identificaron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R03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(firewall sin reglas segmentadas) y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R05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(credenciales de contratistas sin baja)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ambos en severidad 15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, los dos más altos del trabajo: para este proceso, el control de accesos y el perímetro dominan. Además, cinco de los seis componentes de la solución dependen de integrarse con SGOT, CRM, base de datos y NMS, de modo que la integración no es un criterio más sino el núcleo técnico. Y por tratarse de un proceso operativo central, la dependencia de un proveedor externo compromete la continuidad del negocio.</w:t>
      </w: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Matriz de selección</w:t>
      </w:r>
    </w:p>
    <w:tbl>
      <w:tblPr>
        <w:tblW w:type="dxa" w:w="9638"/>
        <w:tblBorders>
          <w:top w:val="single" w:color="C7CBCF" w:sz="4"/>
          <w:left w:val="single" w:color="E2E5E8" w:sz="2"/>
          <w:bottom w:val="single" w:color="C7CBCF" w:sz="4"/>
          <w:right w:val="single" w:color="E2E5E8" w:sz="2"/>
          <w:insideH w:val="single" w:color="C7CBCF" w:sz="2"/>
          <w:insideV w:val="single" w:color="E2E5E8" w:sz="2"/>
        </w:tblBorders>
        <w:tblLayout w:type="fixed"/>
      </w:tblPr>
      <w:tblGrid>
        <w:gridCol w:w="3952"/>
        <w:gridCol w:w="964"/>
        <w:gridCol w:w="1542"/>
        <w:gridCol w:w="1542"/>
        <w:gridCol w:w="1638"/>
      </w:tblGrid>
      <w:tr>
        <w:trPr>
          <w:cantSplit/>
          <w:tblHeader/>
        </w:trPr>
        <w:tc>
          <w:tcPr>
            <w:tcW w:type="dxa" w:w="395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Criterio</w:t>
            </w:r>
          </w:p>
        </w:tc>
        <w:tc>
          <w:tcPr>
            <w:tcW w:type="dxa" w:w="964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Peso</w:t>
            </w:r>
          </w:p>
        </w:tc>
        <w:tc>
          <w:tcPr>
            <w:tcW w:type="dxa" w:w="154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A1 Interno</w:t>
            </w:r>
          </w:p>
        </w:tc>
        <w:tc>
          <w:tcPr>
            <w:tcW w:type="dxa" w:w="1542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A2 SaaS</w:t>
            </w:r>
          </w:p>
        </w:tc>
        <w:tc>
          <w:tcPr>
            <w:tcW w:type="dxa" w:w="1638"/>
            <w:shd w:fill="F4F5F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A3 Tercerizado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Seguridad y cumplimiento (Ley 25.326, R03, R05)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Integración con SGOT / CRM / BD / NMS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Dependencia del proveedor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15%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Costo total de propiedad a 3 años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Tiempo hasta la puesta en producción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2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Mantenimiento y evolución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Escalabilidad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10%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Conocimiento disponible en el equipo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5%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4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  <w:lang w:val="es-AR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395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Ponderado</w:t>
            </w:r>
          </w:p>
        </w:tc>
        <w:tc>
          <w:tcPr>
            <w:tcW w:type="dxa" w:w="964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100%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4,00</w:t>
            </w:r>
          </w:p>
        </w:tc>
        <w:tc>
          <w:tcPr>
            <w:tcW w:type="dxa" w:w="1542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3,60</w:t>
            </w:r>
          </w:p>
        </w:tc>
        <w:tc>
          <w:tcPr>
            <w:tcW w:type="dxa" w:w="1638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keepNext w:val="false"/>
              <w:suppressAutoHyphens/>
              <w:spacing w:after="0" w:before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  <w:lang w:val="es-AR"/>
              </w:rPr>
              <w:t xml:space="preserve">3,50</w:t>
            </w:r>
          </w:p>
        </w:tc>
      </w:tr>
    </w:tbl>
    <w:p>
      <w:pPr>
        <w:spacing w:after="160"/>
      </w:pPr>
    </w:p>
    <w:p>
      <w:pPr>
        <w:pStyle w:val="Heading3"/>
        <w:keepNext/>
        <w:spacing w:after="110" w:before="280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Alternativa seleccionada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Se selecciona el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desarrollo interno (A1)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porque obtiene el mayor resultado ponderado (4,00) bajo criterios que priorizan la seguridad, la integración con los sistemas existentes y la independencia de proveedores, coherentes con los riesgos R03 y R05 identificados en la Etapa 2 en severidad 15. Los datos personales de clientes no salen del perímetro de la organización y la integración con SGOT, CRM y NMS se resuelve sin intermediarios.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Como contrapartida, es la alternativa de mayor plazo hasta la puesta en producción y de mayor inversión inicial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, lo que se compensa por la ausencia de licenciamiento recurrente por usuario a partir del segundo año.</w:t>
      </w:r>
    </w:p>
    <w:p>
      <w:pPr>
        <w:spacing w:after="120" w:line="280"/>
        <w:jc w:val="both"/>
      </w:pP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Si la objeción fuera el plazo, la alternativa de repliegue es </w:t>
      </w: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A3, desarrollo tercerizado con hosting propio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(3,50), que mantiene los datos dentro del perímetro y acorta el tiempo hasta la puesta en producción.</w:t>
      </w:r>
    </w:p>
    <w:p>
      <w:pPr>
        <w:spacing w:after="160" w:before="0"/>
      </w:pPr>
    </w:p>
    <w:p>
      <w:pPr>
        <w:pStyle w:val="Heading2"/>
        <w:keepNext/>
        <w:spacing w:after="120" w:before="300"/>
      </w:pPr>
      <w:r>
        <w:rPr>
          <w:rFonts w:ascii="Arial" w:cs="Arial" w:eastAsia="Arial" w:hAnsi="Arial"/>
          <w:b/>
          <w:bCs/>
          <w:color w:val="1A1A1A"/>
          <w:spacing w:val="18"/>
          <w:sz w:val="21"/>
          <w:szCs w:val="21"/>
          <w:lang w:val="es-AR"/>
        </w:rPr>
        <w:t xml:space="preserve">CONSULTAS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¿Se valida la alternativa seleccionada?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En particular, ¿es aceptable que los pesos de la matriz se justifiquen con el análisis de riesgos de la Etapa 2, como se explica en el punto 3?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Líneas base.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No están medidas porque las etapas anteriores no relevaron indicadores de operación. ¿Es correcto declararlas como supuestos y poner su medición como entregable de la fase de Relevamiento y análisis dentro de la EDT?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Cronograma.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¿Se acepta un Gantt en meses relativos (Mes 1, Mes 2…) contados desde la aprobación del Acta de Proyecto, o se requieren fechas de calendario?</w:t>
      </w:r>
    </w:p>
    <w:p>
      <w:pPr>
        <w:pStyle w:val="ListParagraph"/>
        <w:numPr>
          <w:ilvl w:val="0"/>
          <w:numId w:val="3"/>
        </w:numPr>
        <w:spacing w:after="100" w:line="276"/>
        <w:jc w:val="both"/>
      </w:pPr>
      <w:r>
        <w:rPr>
          <w:rFonts w:ascii="Arial" w:cs="Arial" w:eastAsia="Arial" w:hAnsi="Arial"/>
          <w:b/>
          <w:bCs/>
          <w:color w:val="1A1A1A"/>
          <w:sz w:val="22"/>
          <w:szCs w:val="22"/>
          <w:lang w:val="es-AR"/>
        </w:rPr>
        <w:t xml:space="preserve">Fecha de entrega</w:t>
      </w:r>
      <w:r>
        <w:rPr>
          <w:rFonts w:ascii="Arial" w:cs="Arial" w:eastAsia="Arial" w:hAnsi="Arial"/>
          <w:color w:val="1A1A1A"/>
          <w:sz w:val="22"/>
          <w:szCs w:val="22"/>
          <w:lang w:val="es-AR"/>
        </w:rPr>
        <w:t xml:space="preserve"> de la Etapa 3.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20"/>
      <w:jc w:val="center"/>
    </w:pPr>
    <w:r>
      <w:rPr>
        <w:rFonts w:ascii="Arial" w:cs="Arial" w:eastAsia="Arial" w:hAnsi="Arial"/>
        <w:color w:val="6B7075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4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autoHyphenation/>
  <w:consecutiveHyphenLimit w:val="2"/>
  <w:doNotHyphenateCap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  <w:lang w:val="es-A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2026-08-19T15:25:59.447Z</dcterms:created>
  <dcterms:modified xsi:type="dcterms:W3CDTF">2026-08-19T15:25:59.448Z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