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GRUPO 34.584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Integrantes: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Bonadeo Juan · Casermeiro Gonzalo · Conti Stéfano · Dana Agustín · Parmigiani Luis · Redaelli Martín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Necesidad central: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que el alumno pueda inscribirse a materias en línea, dentro de las fechas oficiales, y sepa en el momento si quedó inscripto o por qué no.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PARTE A – DESARROLLO DE REQUISITOS (ÁREA RD)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SG1 · INTERESADOS Y NECESIDADES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Interesados: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Alumnos · Secretaría Académica · Docentes y responsables de cátedra · Área de Sistemas · Autoridades.</w:t>
      </w:r>
    </w:p>
    <w:tbl>
      <w:tblPr>
        <w:tblW w:type="dxa" w:w="9638"/>
        <w:tblBorders>
          <w:top w:val="single" w:color="BFD3E6" w:sz="4"/>
          <w:left w:val="single" w:color="DCE7F2" w:sz="2"/>
          <w:bottom w:val="single" w:color="BFD3E6" w:sz="4"/>
          <w:right w:val="single" w:color="DCE7F2" w:sz="2"/>
          <w:insideH w:val="single" w:color="BFD3E6" w:sz="2"/>
          <w:insideV w:val="single" w:color="DCE7F2" w:sz="2"/>
        </w:tblBorders>
        <w:tblLayout w:type="fixed"/>
      </w:tblPr>
      <w:tblGrid>
        <w:gridCol w:w="3277"/>
        <w:gridCol w:w="3181"/>
        <w:gridCol w:w="3180"/>
      </w:tblGrid>
      <w:tr>
        <w:trPr>
          <w:cantSplit/>
          <w:tblHeader/>
        </w:trPr>
        <w:tc>
          <w:tcPr>
            <w:tcW w:type="dxa" w:w="3277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Lo que dijo el interesado</w:t>
            </w:r>
          </w:p>
        </w:tc>
        <w:tc>
          <w:tcPr>
            <w:tcW w:type="dxa" w:w="3181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Necesidad real</w:t>
            </w:r>
          </w:p>
        </w:tc>
        <w:tc>
          <w:tcPr>
            <w:tcW w:type="dxa" w:w="3180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Solución propuesta (no es requisito todavía)</w:t>
            </w:r>
          </w:p>
        </w:tc>
      </w:tr>
      <w:tr>
        <w:trPr>
          <w:cantSplit/>
          <w:tblHeader w:val="false"/>
        </w:trPr>
        <w:tc>
          <w:tcPr>
            <w:tcW w:type="dxa" w:w="327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"Quiero anotarme desde mi casa o el celular"</w:t>
            </w:r>
          </w:p>
        </w:tc>
        <w:tc>
          <w:tcPr>
            <w:tcW w:type="dxa" w:w="3181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Inscribirse sin ir a la facultad</w:t>
            </w:r>
          </w:p>
        </w:tc>
        <w:tc>
          <w:tcPr>
            <w:tcW w:type="dxa" w:w="318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Portal web responsive</w:t>
            </w:r>
          </w:p>
        </w:tc>
      </w:tr>
      <w:tr>
        <w:trPr>
          <w:cantSplit/>
          <w:tblHeader w:val="false"/>
        </w:trPr>
        <w:tc>
          <w:tcPr>
            <w:tcW w:type="dxa" w:w="327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"Si la materia está llena, quiero quedar en lista de espera"</w:t>
            </w:r>
          </w:p>
        </w:tc>
        <w:tc>
          <w:tcPr>
            <w:tcW w:type="dxa" w:w="3181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No perder un lugar que se libere</w:t>
            </w:r>
          </w:p>
        </w:tc>
        <w:tc>
          <w:tcPr>
            <w:tcW w:type="dxa" w:w="318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Lista de espera con notificaciones (no decidido para la 1ª versión)</w:t>
            </w:r>
          </w:p>
        </w:tc>
      </w:tr>
      <w:tr>
        <w:trPr>
          <w:cantSplit/>
          <w:tblHeader w:val="false"/>
        </w:trPr>
        <w:tc>
          <w:tcPr>
            <w:tcW w:type="dxa" w:w="327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"No duplicar datos sin definir cómo se sincronizan"</w:t>
            </w:r>
          </w:p>
        </w:tc>
        <w:tc>
          <w:tcPr>
            <w:tcW w:type="dxa" w:w="3181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Que la información oficial siga en un solo lugar</w:t>
            </w:r>
          </w:p>
        </w:tc>
        <w:tc>
          <w:tcPr>
            <w:tcW w:type="dxa" w:w="3180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Integración con el sistema académico existente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FICHA DE REQUISITOS DEL CLIENTE (RC)</w:t>
      </w:r>
    </w:p>
    <w:tbl>
      <w:tblPr>
        <w:tblW w:type="dxa" w:w="9638"/>
        <w:tblBorders>
          <w:top w:val="single" w:color="BFD3E6" w:sz="4"/>
          <w:left w:val="single" w:color="DCE7F2" w:sz="2"/>
          <w:bottom w:val="single" w:color="BFD3E6" w:sz="4"/>
          <w:right w:val="single" w:color="DCE7F2" w:sz="2"/>
          <w:insideH w:val="single" w:color="BFD3E6" w:sz="2"/>
          <w:insideV w:val="single" w:color="DCE7F2" w:sz="2"/>
        </w:tblBorders>
        <w:tblLayout w:type="fixed"/>
      </w:tblPr>
      <w:tblGrid>
        <w:gridCol w:w="578"/>
        <w:gridCol w:w="2699"/>
        <w:gridCol w:w="1253"/>
        <w:gridCol w:w="2699"/>
        <w:gridCol w:w="1157"/>
        <w:gridCol w:w="1252"/>
      </w:tblGrid>
      <w:tr>
        <w:trPr>
          <w:cantSplit/>
          <w:tblHeader/>
        </w:trPr>
        <w:tc>
          <w:tcPr>
            <w:tcW w:type="dxa" w:w="578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ID</w:t>
            </w:r>
          </w:p>
        </w:tc>
        <w:tc>
          <w:tcPr>
            <w:tcW w:type="dxa" w:w="2699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Enunciado</w:t>
            </w:r>
          </w:p>
        </w:tc>
        <w:tc>
          <w:tcPr>
            <w:tcW w:type="dxa" w:w="1253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Fuente</w:t>
            </w:r>
          </w:p>
        </w:tc>
        <w:tc>
          <w:tcPr>
            <w:tcW w:type="dxa" w:w="2699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Criterio de aceptación</w:t>
            </w:r>
          </w:p>
        </w:tc>
        <w:tc>
          <w:tcPr>
            <w:tcW w:type="dxa" w:w="1157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Prioridad</w:t>
            </w:r>
          </w:p>
        </w:tc>
        <w:tc>
          <w:tcPr>
            <w:tcW w:type="dxa" w:w="1252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Estado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RC1</w:t>
            </w:r>
          </w:p>
        </w:tc>
        <w:tc>
          <w:tcPr>
            <w:tcW w:type="dxa" w:w="269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El alumno debe poder solicitar su inscripción a una comisión desde cualquier dispositivo con internet, durante el período oficial, viendo antes días, horarios y cupos, y saber en la misma operación si fue aceptada o el motivo del rechazo</w:t>
            </w:r>
          </w:p>
        </w:tc>
        <w:tc>
          <w:tcPr>
            <w:tcW w:type="dxa" w:w="125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Alumnos, Secretaría Académica</w:t>
            </w:r>
          </w:p>
        </w:tc>
        <w:tc>
          <w:tcPr>
            <w:tcW w:type="dxa" w:w="269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Un alumno se inscribe desde PC y desde celular; antes de confirmar ve días, horarios y cupo; si se rechaza, el sistema indica el motivo (correlatividad, cupo o fecha)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Alta</w:t>
            </w:r>
          </w:p>
        </w:tc>
        <w:tc>
          <w:tcPr>
            <w:tcW w:type="dxa" w:w="125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Propuesto (falta definir "correlativa aprobada")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RC2</w:t>
            </w:r>
          </w:p>
        </w:tc>
        <w:tc>
          <w:tcPr>
            <w:tcW w:type="dxa" w:w="269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Secretaría Académica debe poder configurar las fechas oficiales de inscripción y el cupo de cada comisión, y ninguna comisión debe superar su cupo</w:t>
            </w:r>
          </w:p>
        </w:tc>
        <w:tc>
          <w:tcPr>
            <w:tcW w:type="dxa" w:w="125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Secretaría Académica, Docentes</w:t>
            </w:r>
          </w:p>
        </w:tc>
        <w:tc>
          <w:tcPr>
            <w:tcW w:type="dxa" w:w="269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Secretaría carga un período y los cupos; fuera de ese período nadie puede inscribirse y ninguna comisión supera el cupo configurado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Alta</w:t>
            </w:r>
          </w:p>
        </w:tc>
        <w:tc>
          <w:tcPr>
            <w:tcW w:type="dxa" w:w="125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Aprobado</w:t>
            </w:r>
          </w:p>
        </w:tc>
      </w:tr>
    </w:tbl>
    <w:p>
      <w:pPr>
        <w:spacing w:after="160"/>
      </w:pP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Preguntas pendientes: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¿"Correlativa aprobada" significa final aprobado o regularidad? ¿Cambia según el plan de estudios? (Secretaría)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¿Qué excepciones de inscripción existen y quién las autoriza? (Secretaría)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¿Lista de espera, cambio de comisión y notificaciones entran en la primera versión? (Autoridades y Secretaría)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¿El sistema académico puede exponer una API? ¿En qué formato guarda los datos? (Sistemas)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¿La cifra de 3.000 alumnos simultáneos en los primeros 30 minutos está medida? (Sistemas)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SG2 · FICHA DE REQUISITOS DEL PRODUCTO (RP), DE INTERFAZ (RI) Y DERIVADOS (RD)</w:t>
      </w:r>
    </w:p>
    <w:tbl>
      <w:tblPr>
        <w:tblW w:type="dxa" w:w="9638"/>
        <w:tblBorders>
          <w:top w:val="single" w:color="BFD3E6" w:sz="4"/>
          <w:left w:val="single" w:color="DCE7F2" w:sz="2"/>
          <w:bottom w:val="single" w:color="BFD3E6" w:sz="4"/>
          <w:right w:val="single" w:color="DCE7F2" w:sz="2"/>
          <w:insideH w:val="single" w:color="BFD3E6" w:sz="2"/>
          <w:insideV w:val="single" w:color="DCE7F2" w:sz="2"/>
        </w:tblBorders>
        <w:tblLayout w:type="fixed"/>
      </w:tblPr>
      <w:tblGrid>
        <w:gridCol w:w="578"/>
        <w:gridCol w:w="2699"/>
        <w:gridCol w:w="964"/>
        <w:gridCol w:w="3084"/>
        <w:gridCol w:w="1157"/>
        <w:gridCol w:w="1156"/>
      </w:tblGrid>
      <w:tr>
        <w:trPr>
          <w:cantSplit/>
          <w:tblHeader/>
        </w:trPr>
        <w:tc>
          <w:tcPr>
            <w:tcW w:type="dxa" w:w="578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ID</w:t>
            </w:r>
          </w:p>
        </w:tc>
        <w:tc>
          <w:tcPr>
            <w:tcW w:type="dxa" w:w="2699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Enunciado</w:t>
            </w:r>
          </w:p>
        </w:tc>
        <w:tc>
          <w:tcPr>
            <w:tcW w:type="dxa" w:w="964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Fuente</w:t>
            </w:r>
          </w:p>
        </w:tc>
        <w:tc>
          <w:tcPr>
            <w:tcW w:type="dxa" w:w="3084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Criterio de aceptación</w:t>
            </w:r>
          </w:p>
        </w:tc>
        <w:tc>
          <w:tcPr>
            <w:tcW w:type="dxa" w:w="1157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Prioridad</w:t>
            </w:r>
          </w:p>
        </w:tc>
        <w:tc>
          <w:tcPr>
            <w:tcW w:type="dxa" w:w="1156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Estado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RP1</w:t>
            </w:r>
          </w:p>
        </w:tc>
        <w:tc>
          <w:tcPr>
            <w:tcW w:type="dxa" w:w="269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Autenticar al usuario y determinar su rol (alumno, Secretaría, docente)</w:t>
            </w:r>
          </w:p>
        </w:tc>
        <w:tc>
          <w:tcPr>
            <w:tcW w:type="dxa" w:w="96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RC1, RC2</w:t>
            </w:r>
          </w:p>
        </w:tc>
        <w:tc>
          <w:tcPr>
            <w:tcW w:type="dxa" w:w="308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Credenciales inválidas → acceso denegado; un alumno no puede entrar a la configuración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Alta</w:t>
            </w:r>
          </w:p>
        </w:tc>
        <w:tc>
          <w:tcPr>
            <w:tcW w:type="dxa" w:w="115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Aprobado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RP2</w:t>
            </w:r>
          </w:p>
        </w:tc>
        <w:tc>
          <w:tcPr>
            <w:tcW w:type="dxa" w:w="269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Mostrar las comisiones (materia, días, horarios y cupo disponible) sólo de las materias que el alumno puede cursar</w:t>
            </w:r>
          </w:p>
        </w:tc>
        <w:tc>
          <w:tcPr>
            <w:tcW w:type="dxa" w:w="96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RC1</w:t>
            </w:r>
          </w:p>
        </w:tc>
        <w:tc>
          <w:tcPr>
            <w:tcW w:type="dxa" w:w="308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No aparece ninguna materia cuyas correlativas el alumno no cumple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Alta</w:t>
            </w:r>
          </w:p>
        </w:tc>
        <w:tc>
          <w:tcPr>
            <w:tcW w:type="dxa" w:w="115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Propuesto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RP3</w:t>
            </w:r>
          </w:p>
        </w:tc>
        <w:tc>
          <w:tcPr>
            <w:tcW w:type="dxa" w:w="269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Validar las correlatividades según el plan de estudios del alumno</w:t>
            </w:r>
          </w:p>
        </w:tc>
        <w:tc>
          <w:tcPr>
            <w:tcW w:type="dxa" w:w="96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RC1</w:t>
            </w:r>
          </w:p>
        </w:tc>
        <w:tc>
          <w:tcPr>
            <w:tcW w:type="dxa" w:w="308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Alumno sin la correlativa → rechazo indicando qué materia falta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Alta</w:t>
            </w:r>
          </w:p>
        </w:tc>
        <w:tc>
          <w:tcPr>
            <w:tcW w:type="dxa" w:w="115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Propuesto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RP4</w:t>
            </w:r>
          </w:p>
        </w:tc>
        <w:tc>
          <w:tcPr>
            <w:tcW w:type="dxa" w:w="269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Validar que la solicitud esté dentro del período oficial y que la comisión tenga cupo</w:t>
            </w:r>
          </w:p>
        </w:tc>
        <w:tc>
          <w:tcPr>
            <w:tcW w:type="dxa" w:w="96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RC1, RC2</w:t>
            </w:r>
          </w:p>
        </w:tc>
        <w:tc>
          <w:tcPr>
            <w:tcW w:type="dxa" w:w="308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Fuera de fecha o sin cupo → rechazo con el motivo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Alta</w:t>
            </w:r>
          </w:p>
        </w:tc>
        <w:tc>
          <w:tcPr>
            <w:tcW w:type="dxa" w:w="115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Aprobado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RP5</w:t>
            </w:r>
          </w:p>
        </w:tc>
        <w:tc>
          <w:tcPr>
            <w:tcW w:type="dxa" w:w="269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Registrar la inscripción y descontar el cupo en una sola operación, sin sobrecupo aunque haya accesos simultáneos</w:t>
            </w:r>
          </w:p>
        </w:tc>
        <w:tc>
          <w:tcPr>
            <w:tcW w:type="dxa" w:w="96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RC1, RC2</w:t>
            </w:r>
          </w:p>
        </w:tc>
        <w:tc>
          <w:tcPr>
            <w:tcW w:type="dxa" w:w="308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Dos solicitudes simultáneas por el último cupo → sólo una queda inscripta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Alta</w:t>
            </w:r>
          </w:p>
        </w:tc>
        <w:tc>
          <w:tcPr>
            <w:tcW w:type="dxa" w:w="115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Aprobado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RP6</w:t>
            </w:r>
          </w:p>
        </w:tc>
        <w:tc>
          <w:tcPr>
            <w:tcW w:type="dxa" w:w="269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Informar el resultado: comprobante de inscripción o motivo del rechazo</w:t>
            </w:r>
          </w:p>
        </w:tc>
        <w:tc>
          <w:tcPr>
            <w:tcW w:type="dxa" w:w="96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RC1</w:t>
            </w:r>
          </w:p>
        </w:tc>
        <w:tc>
          <w:tcPr>
            <w:tcW w:type="dxa" w:w="308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Toda solicitud aceptada genera un comprobante con número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Alta</w:t>
            </w:r>
          </w:p>
        </w:tc>
        <w:tc>
          <w:tcPr>
            <w:tcW w:type="dxa" w:w="115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Aprobado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RP7</w:t>
            </w:r>
          </w:p>
        </w:tc>
        <w:tc>
          <w:tcPr>
            <w:tcW w:type="dxa" w:w="269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Alta, modificación y baja de períodos de inscripción y cupos por comisión (sólo Secretaría)</w:t>
            </w:r>
          </w:p>
        </w:tc>
        <w:tc>
          <w:tcPr>
            <w:tcW w:type="dxa" w:w="96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RC2</w:t>
            </w:r>
          </w:p>
        </w:tc>
        <w:tc>
          <w:tcPr>
            <w:tcW w:type="dxa" w:w="308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Un cupo modificado se refleja en la oferta que ve el alumno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Alta</w:t>
            </w:r>
          </w:p>
        </w:tc>
        <w:tc>
          <w:tcPr>
            <w:tcW w:type="dxa" w:w="115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Aprobado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RP8</w:t>
            </w:r>
          </w:p>
        </w:tc>
        <w:tc>
          <w:tcPr>
            <w:tcW w:type="dxa" w:w="269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Registrar cada solicitud: alumno, fecha y hora, validaciones realizadas y resultado</w:t>
            </w:r>
          </w:p>
        </w:tc>
        <w:tc>
          <w:tcPr>
            <w:tcW w:type="dxa" w:w="96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RC1</w:t>
            </w:r>
          </w:p>
        </w:tc>
        <w:tc>
          <w:tcPr>
            <w:tcW w:type="dxa" w:w="308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Secretaría puede consultar cualquier solicitud con esos cuatro datos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Media</w:t>
            </w:r>
          </w:p>
        </w:tc>
        <w:tc>
          <w:tcPr>
            <w:tcW w:type="dxa" w:w="115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Aprobado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RP9</w:t>
            </w:r>
          </w:p>
        </w:tc>
        <w:tc>
          <w:tcPr>
            <w:tcW w:type="dxa" w:w="269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Atender 3.000 usuarios simultáneos con respuesta menor a 3 segundos</w:t>
            </w:r>
          </w:p>
        </w:tc>
        <w:tc>
          <w:tcPr>
            <w:tcW w:type="dxa" w:w="96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RC1</w:t>
            </w:r>
          </w:p>
        </w:tc>
        <w:tc>
          <w:tcPr>
            <w:tcW w:type="dxa" w:w="308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En una prueba de carga con 3.000 usuarios, el 95 % de las respuestas tarda menos de 3 s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Alta</w:t>
            </w:r>
          </w:p>
        </w:tc>
        <w:tc>
          <w:tcPr>
            <w:tcW w:type="dxa" w:w="115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Propuesto (valor a validar)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RI1</w:t>
            </w:r>
          </w:p>
        </w:tc>
        <w:tc>
          <w:tcPr>
            <w:tcW w:type="dxa" w:w="269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Interfaz con el sistema académico: el portal consulta legajo, plan, materias aprobadas y regulares, y envía cada inscripción aceptada</w:t>
            </w:r>
          </w:p>
        </w:tc>
        <w:tc>
          <w:tcPr>
            <w:tcW w:type="dxa" w:w="96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RC1</w:t>
            </w:r>
          </w:p>
        </w:tc>
        <w:tc>
          <w:tcPr>
            <w:tcW w:type="dxa" w:w="308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Si el sistema académico no responde en 10 s, la solicitud queda "pendiente de confirmación" y se reintenta; nunca se confirma sin validar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Alta</w:t>
            </w:r>
          </w:p>
        </w:tc>
        <w:tc>
          <w:tcPr>
            <w:tcW w:type="dxa" w:w="115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Propuesto (API no confirmada)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RD1</w:t>
            </w:r>
          </w:p>
        </w:tc>
        <w:tc>
          <w:tcPr>
            <w:tcW w:type="dxa" w:w="269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El portal es web y responsive</w:t>
            </w:r>
          </w:p>
        </w:tc>
        <w:tc>
          <w:tcPr>
            <w:tcW w:type="dxa" w:w="96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Decisión técnica</w:t>
            </w:r>
          </w:p>
        </w:tc>
        <w:tc>
          <w:tcPr>
            <w:tcW w:type="dxa" w:w="308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Funciona en los navegadores de PC y celular sin instalar nada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Media</w:t>
            </w:r>
          </w:p>
        </w:tc>
        <w:tc>
          <w:tcPr>
            <w:tcW w:type="dxa" w:w="115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Aprobado</w:t>
            </w:r>
          </w:p>
        </w:tc>
      </w:tr>
      <w:tr>
        <w:trPr>
          <w:cantSplit/>
          <w:tblHeader w:val="false"/>
        </w:trPr>
        <w:tc>
          <w:tcPr>
            <w:tcW w:type="dxa" w:w="57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RD2</w:t>
            </w:r>
          </w:p>
        </w:tc>
        <w:tc>
          <w:tcPr>
            <w:tcW w:type="dxa" w:w="269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El portal consulta una copia de la oferta y los cupos que se sincroniza periódicamente, y envía las inscripciones por una cola</w:t>
            </w:r>
          </w:p>
        </w:tc>
        <w:tc>
          <w:tcPr>
            <w:tcW w:type="dxa" w:w="96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Decisión técnica</w:t>
            </w:r>
          </w:p>
        </w:tc>
        <w:tc>
          <w:tcPr>
            <w:tcW w:type="dxa" w:w="308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Durante la apertura, el sistema académico no recibe consultas directas de la oferta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Media</w:t>
            </w:r>
          </w:p>
        </w:tc>
        <w:tc>
          <w:tcPr>
            <w:tcW w:type="dxa" w:w="115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Propuesto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SG3 · ESCENARIOS, FUNCIONES Y ASIGNACIÓN A COMPONENTES E INTERFACES</w:t>
      </w:r>
    </w:p>
    <w:p>
      <w:pPr>
        <w:spacing w:after="200" w:before="120"/>
        <w:jc w:val="center"/>
      </w:pPr>
      <w:r>
        <w:drawing>
          <wp:inline distT="0" distB="0" distL="0" distR="0">
            <wp:extent cx="6124575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Validación con los interesados: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prototipo navegable de consulta e inscripción revisado con alumnos y Secretaría; revisión de las reglas de correlatividad con Secretaría usando casos reales de alumnos; piloto con una carrera antes de la apertura general.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PARTE B – GESTIÓN DE REQUISITOS (ÁREA REQM)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SP 1.1 · ENTENDIMIENTO</w:t>
      </w:r>
    </w:p>
    <w:tbl>
      <w:tblPr>
        <w:tblW w:type="dxa" w:w="9638"/>
        <w:tblBorders>
          <w:top w:val="single" w:color="BFD3E6" w:sz="4"/>
          <w:left w:val="single" w:color="DCE7F2" w:sz="2"/>
          <w:bottom w:val="single" w:color="BFD3E6" w:sz="4"/>
          <w:right w:val="single" w:color="DCE7F2" w:sz="2"/>
          <w:insideH w:val="single" w:color="BFD3E6" w:sz="2"/>
          <w:insideV w:val="single" w:color="DCE7F2" w:sz="2"/>
        </w:tblBorders>
        <w:tblLayout w:type="fixed"/>
      </w:tblPr>
      <w:tblGrid>
        <w:gridCol w:w="1157"/>
        <w:gridCol w:w="4626"/>
        <w:gridCol w:w="3855"/>
      </w:tblGrid>
      <w:tr>
        <w:trPr>
          <w:cantSplit/>
          <w:tblHeader/>
        </w:trPr>
        <w:tc>
          <w:tcPr>
            <w:tcW w:type="dxa" w:w="1157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RC</w:t>
            </w:r>
          </w:p>
        </w:tc>
        <w:tc>
          <w:tcPr>
            <w:tcW w:type="dxa" w:w="4626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Quién aclara</w:t>
            </w:r>
          </w:p>
        </w:tc>
        <w:tc>
          <w:tcPr>
            <w:tcW w:type="dxa" w:w="3855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Quién acepta</w:t>
            </w:r>
          </w:p>
        </w:tc>
      </w:tr>
      <w:tr>
        <w:trPr>
          <w:cantSplit/>
          <w:tblHeader w:val="false"/>
        </w:trPr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RC1</w:t>
            </w:r>
          </w:p>
        </w:tc>
        <w:tc>
          <w:tcPr>
            <w:tcW w:type="dxa" w:w="462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Alumnos (por medio del centro de estudiantes) y Secretaría Académica (reglas de inscripción)</w:t>
            </w:r>
          </w:p>
        </w:tc>
        <w:tc>
          <w:tcPr>
            <w:tcW w:type="dxa" w:w="3855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Secretaría Académica</w:t>
            </w:r>
          </w:p>
        </w:tc>
      </w:tr>
      <w:tr>
        <w:trPr>
          <w:cantSplit/>
          <w:tblHeader w:val="false"/>
        </w:trPr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RC2</w:t>
            </w:r>
          </w:p>
        </w:tc>
        <w:tc>
          <w:tcPr>
            <w:tcW w:type="dxa" w:w="462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Secretaría Académica</w:t>
            </w:r>
          </w:p>
        </w:tc>
        <w:tc>
          <w:tcPr>
            <w:tcW w:type="dxa" w:w="3855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Secretaría Académica y docentes (cupos de sus comisiones)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Pregunta 1: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¿"correlativa aprobada" es final aprobado o regularidad?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Respuesta a confirmar: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para cursar se exige regularidad y para rendir, final aprobado, según el plan. Confirma Secretaría.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Pregunta 2: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si el sistema académico no responde, ¿se confirma la inscripción?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Respuesta a confirmar: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no; queda pendiente y se confirma en menos de 1 hora. Confirman Secretaría y Sistemas.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SP 1.2 · COMPROMISO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Deben acordar la implementación: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Secretaría Académica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(reglas y cupos),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Área de Sistemas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(integración e infraestructura),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líder del proyecto y equipo de desarrollo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(esfuerzo y plazo)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Autoridades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(alcance y presupuesto). El acuerdo queda registrado en una minuta firmada.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Impacto estimado: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RI1 es el de mayor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riesgo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porque la API del sistema académico no está confirmada: Sistemas se compromete a exponer los servicios antes del inicio del desarrollo. RP5 y RP9 suman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esfuerzo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por la concurrencia y requieren pruebas de carga. 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plazo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la primera versión llega al próximo cuatrimestre sólo si se deja afuera la lista de espera.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SP 1.3 · REGISTRO DE AMBIGÜEDAD, CONFLICTO, RIESGO Y SOLICITUD DE CAMBIO</w:t>
      </w:r>
    </w:p>
    <w:tbl>
      <w:tblPr>
        <w:tblW w:type="dxa" w:w="9638"/>
        <w:tblBorders>
          <w:top w:val="single" w:color="BFD3E6" w:sz="4"/>
          <w:left w:val="single" w:color="DCE7F2" w:sz="2"/>
          <w:bottom w:val="single" w:color="BFD3E6" w:sz="4"/>
          <w:right w:val="single" w:color="DCE7F2" w:sz="2"/>
          <w:insideH w:val="single" w:color="BFD3E6" w:sz="2"/>
          <w:insideV w:val="single" w:color="DCE7F2" w:sz="2"/>
        </w:tblBorders>
        <w:tblLayout w:type="fixed"/>
      </w:tblPr>
      <w:tblGrid>
        <w:gridCol w:w="1349"/>
        <w:gridCol w:w="3277"/>
        <w:gridCol w:w="5012"/>
      </w:tblGrid>
      <w:tr>
        <w:trPr>
          <w:cantSplit/>
          <w:tblHeader/>
        </w:trPr>
        <w:tc>
          <w:tcPr>
            <w:tcW w:type="dxa" w:w="1349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Tipo</w:t>
            </w:r>
          </w:p>
        </w:tc>
        <w:tc>
          <w:tcPr>
            <w:tcW w:type="dxa" w:w="3277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Descripción</w:t>
            </w:r>
          </w:p>
        </w:tc>
        <w:tc>
          <w:tcPr>
            <w:tcW w:type="dxa" w:w="5012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Resolución argumentada</w:t>
            </w:r>
          </w:p>
        </w:tc>
      </w:tr>
      <w:tr>
        <w:trPr>
          <w:cantSplit/>
          <w:tblHeader w:val="false"/>
        </w:trPr>
        <w:tc>
          <w:tcPr>
            <w:tcW w:type="dxa" w:w="134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Ambigüedad</w:t>
            </w:r>
          </w:p>
        </w:tc>
        <w:tc>
          <w:tcPr>
            <w:tcW w:type="dxa" w:w="327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"Correlativa aprobada": algunos entienden final aprobado y otros regularidad de cursado (afecta RC1, RP2, RP3)</w:t>
            </w:r>
          </w:p>
        </w:tc>
        <w:tc>
          <w:tcPr>
            <w:tcW w:type="dxa" w:w="50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Se define con Secretaría por plan de estudios y la regla queda configurable. Argumento: si se fija en el código, cada cambio de plan obliga a modificar el sistema; mientras tanto RC1 y RP3 quedan en estado "propuesto"</w:t>
            </w:r>
          </w:p>
        </w:tc>
      </w:tr>
      <w:tr>
        <w:trPr>
          <w:cantSplit/>
          <w:tblHeader w:val="false"/>
        </w:trPr>
        <w:tc>
          <w:tcPr>
            <w:tcW w:type="dxa" w:w="134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Conflicto</w:t>
            </w:r>
          </w:p>
        </w:tc>
        <w:tc>
          <w:tcPr>
            <w:tcW w:type="dxa" w:w="327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Secretaría pide "no admitir inscripciones sin requisitos" pero también "poder autorizar excepciones"</w:t>
            </w:r>
          </w:p>
        </w:tc>
        <w:tc>
          <w:tcPr>
            <w:tcW w:type="dxa" w:w="50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La validación automática siempre se aplica y la excepción es un trámite manual de Secretaría, fuera del flujo automático. Argumento: respeta las dos voces sin que el sistema decida excepciones solo, como pidió la propia Secretaría</w:t>
            </w:r>
          </w:p>
        </w:tc>
      </w:tr>
      <w:tr>
        <w:trPr>
          <w:cantSplit/>
          <w:tblHeader w:val="false"/>
        </w:trPr>
        <w:tc>
          <w:tcPr>
            <w:tcW w:type="dxa" w:w="134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Riesgo</w:t>
            </w:r>
          </w:p>
        </w:tc>
        <w:tc>
          <w:tcPr>
            <w:tcW w:type="dxa" w:w="327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El sistema académico se demora o cae durante la apertura, con 3.000 alumnos a la vez (afecta RI1, RP9)</w:t>
            </w:r>
          </w:p>
        </w:tc>
        <w:tc>
          <w:tcPr>
            <w:tcW w:type="dxa" w:w="50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Mitigación: RD2 (copia de la oferta y cola de inscripciones), estado "pendiente de confirmación" y prueba de carga temprana sobre un prototipo. Argumento: se prioriza la consistencia sobre la confirmación inmediata, porque una inscripción confirmada sin validar es peor que una demora</w:t>
            </w:r>
          </w:p>
        </w:tc>
      </w:tr>
      <w:tr>
        <w:trPr>
          <w:cantSplit/>
          <w:tblHeader w:val="false"/>
        </w:trPr>
        <w:tc>
          <w:tcPr>
            <w:tcW w:type="dxa" w:w="134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Solicitud de cambio SC-01</w:t>
            </w:r>
          </w:p>
        </w:tc>
        <w:tc>
          <w:tcPr>
            <w:tcW w:type="dxa" w:w="327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Centro de estudiantes: agregar lista de espera por comisión y notificar al alumno cuando se libere un cupo. Justificación: disminuir los reclamos en Secretaría, un objetivo de las Autoridades</w:t>
            </w:r>
          </w:p>
        </w:tc>
        <w:tc>
          <w:tcPr>
            <w:tcW w:type="dxa" w:w="50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Impacto: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dos RP nuevos (gestionar la lista, notificar), modifica RP5, nueva interfaz con el servicio de correo, nuevos casos de prueba y unas 2 semanas más.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Decisión: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aprobada para la segunda versión (comité de cambios: Secretaría, Sistemas y líder del proyecto). Argumento: incluirla en la primera versión pone en riesgo el plazo del próximo cuatrimestre, que es la restricción fija de las Autoridades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SP 1.4 · MATRIZ DE TRAZABILIDAD Y CASOS DE PRUEBA</w:t>
      </w:r>
    </w:p>
    <w:tbl>
      <w:tblPr>
        <w:tblW w:type="dxa" w:w="9638"/>
        <w:tblBorders>
          <w:top w:val="single" w:color="BFD3E6" w:sz="4"/>
          <w:left w:val="single" w:color="DCE7F2" w:sz="2"/>
          <w:bottom w:val="single" w:color="BFD3E6" w:sz="4"/>
          <w:right w:val="single" w:color="DCE7F2" w:sz="2"/>
          <w:insideH w:val="single" w:color="BFD3E6" w:sz="2"/>
          <w:insideV w:val="single" w:color="DCE7F2" w:sz="2"/>
        </w:tblBorders>
        <w:tblLayout w:type="fixed"/>
      </w:tblPr>
      <w:tblGrid>
        <w:gridCol w:w="1157"/>
        <w:gridCol w:w="1157"/>
        <w:gridCol w:w="2506"/>
        <w:gridCol w:w="4818"/>
      </w:tblGrid>
      <w:tr>
        <w:trPr>
          <w:cantSplit/>
          <w:tblHeader/>
        </w:trPr>
        <w:tc>
          <w:tcPr>
            <w:tcW w:type="dxa" w:w="1157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RC</w:t>
            </w:r>
          </w:p>
        </w:tc>
        <w:tc>
          <w:tcPr>
            <w:tcW w:type="dxa" w:w="1157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RP / RI</w:t>
            </w:r>
          </w:p>
        </w:tc>
        <w:tc>
          <w:tcPr>
            <w:tcW w:type="dxa" w:w="2506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Componente</w:t>
            </w:r>
          </w:p>
        </w:tc>
        <w:tc>
          <w:tcPr>
            <w:tcW w:type="dxa" w:w="4818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Caso de prueba</w:t>
            </w:r>
          </w:p>
        </w:tc>
      </w:tr>
      <w:tr>
        <w:trPr>
          <w:cantSplit/>
          <w:tblHeader w:val="false"/>
        </w:trPr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RC1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RP2</w:t>
            </w:r>
          </w:p>
        </w:tc>
        <w:tc>
          <w:tcPr>
            <w:tcW w:type="dxa" w:w="25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Consulta de oferta</w:t>
            </w:r>
          </w:p>
        </w:tc>
        <w:tc>
          <w:tcPr>
            <w:tcW w:type="dxa" w:w="481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CP01: sólo se muestran comisiones de materias que el alumno puede cursar</w:t>
            </w:r>
          </w:p>
        </w:tc>
      </w:tr>
      <w:tr>
        <w:trPr>
          <w:cantSplit/>
          <w:tblHeader w:val="false"/>
        </w:trPr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RC1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RP3</w:t>
            </w:r>
          </w:p>
        </w:tc>
        <w:tc>
          <w:tcPr>
            <w:tcW w:type="dxa" w:w="25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Validaciones</w:t>
            </w:r>
          </w:p>
        </w:tc>
        <w:tc>
          <w:tcPr>
            <w:tcW w:type="dxa" w:w="481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CP02: alumno sin la correlativa → rechazo con la materia que falta</w:t>
            </w:r>
          </w:p>
        </w:tc>
      </w:tr>
      <w:tr>
        <w:trPr>
          <w:cantSplit/>
          <w:tblHeader w:val="false"/>
        </w:trPr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RC1, RC2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RP5</w:t>
            </w:r>
          </w:p>
        </w:tc>
        <w:tc>
          <w:tcPr>
            <w:tcW w:type="dxa" w:w="25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Inscripciones</w:t>
            </w:r>
          </w:p>
        </w:tc>
        <w:tc>
          <w:tcPr>
            <w:tcW w:type="dxa" w:w="481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CP03: dos alumnos piden el último cupo a la vez → sólo uno inscripto</w:t>
            </w:r>
          </w:p>
        </w:tc>
      </w:tr>
      <w:tr>
        <w:trPr>
          <w:cantSplit/>
          <w:tblHeader w:val="false"/>
        </w:trPr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RC2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RP4, RP7</w:t>
            </w:r>
          </w:p>
        </w:tc>
        <w:tc>
          <w:tcPr>
            <w:tcW w:type="dxa" w:w="25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Validaciones, Configuración académica</w:t>
            </w:r>
          </w:p>
        </w:tc>
        <w:tc>
          <w:tcPr>
            <w:tcW w:type="dxa" w:w="481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CP04: solicitud fuera del período configurado → rechazo</w:t>
            </w:r>
          </w:p>
        </w:tc>
      </w:tr>
      <w:tr>
        <w:trPr>
          <w:cantSplit/>
          <w:tblHeader w:val="false"/>
        </w:trPr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RC1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RI1</w:t>
            </w:r>
          </w:p>
        </w:tc>
        <w:tc>
          <w:tcPr>
            <w:tcW w:type="dxa" w:w="25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Inscripciones ⟷ sistema académico</w:t>
            </w:r>
          </w:p>
        </w:tc>
        <w:tc>
          <w:tcPr>
            <w:tcW w:type="dxa" w:w="481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CP05: el sistema académico no responde → solicitud pendiente</w:t>
            </w:r>
          </w:p>
        </w:tc>
      </w:tr>
    </w:tbl>
    <w:p>
      <w:pPr>
        <w:spacing w:after="160"/>
      </w:pP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Casos de prueba asociados:</w:t>
      </w:r>
    </w:p>
    <w:tbl>
      <w:tblPr>
        <w:tblW w:type="dxa" w:w="9638"/>
        <w:tblBorders>
          <w:top w:val="single" w:color="BFD3E6" w:sz="4"/>
          <w:left w:val="single" w:color="DCE7F2" w:sz="2"/>
          <w:bottom w:val="single" w:color="BFD3E6" w:sz="4"/>
          <w:right w:val="single" w:color="DCE7F2" w:sz="2"/>
          <w:insideH w:val="single" w:color="BFD3E6" w:sz="2"/>
          <w:insideV w:val="single" w:color="DCE7F2" w:sz="2"/>
        </w:tblBorders>
        <w:tblLayout w:type="fixed"/>
      </w:tblPr>
      <w:tblGrid>
        <w:gridCol w:w="771"/>
        <w:gridCol w:w="1253"/>
        <w:gridCol w:w="2699"/>
        <w:gridCol w:w="2024"/>
        <w:gridCol w:w="2891"/>
      </w:tblGrid>
      <w:tr>
        <w:trPr>
          <w:cantSplit/>
          <w:tblHeader/>
        </w:trPr>
        <w:tc>
          <w:tcPr>
            <w:tcW w:type="dxa" w:w="771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ID</w:t>
            </w:r>
          </w:p>
        </w:tc>
        <w:tc>
          <w:tcPr>
            <w:tcW w:type="dxa" w:w="1253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Verifica</w:t>
            </w:r>
          </w:p>
        </w:tc>
        <w:tc>
          <w:tcPr>
            <w:tcW w:type="dxa" w:w="2699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Precondición</w:t>
            </w:r>
          </w:p>
        </w:tc>
        <w:tc>
          <w:tcPr>
            <w:tcW w:type="dxa" w:w="2024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Entrada</w:t>
            </w:r>
          </w:p>
        </w:tc>
        <w:tc>
          <w:tcPr>
            <w:tcW w:type="dxa" w:w="2891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Resultado esperado</w:t>
            </w:r>
          </w:p>
        </w:tc>
      </w:tr>
      <w:tr>
        <w:trPr>
          <w:cantSplit/>
          <w:tblHeader w:val="false"/>
        </w:trPr>
        <w:tc>
          <w:tcPr>
            <w:tcW w:type="dxa" w:w="771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CP02</w:t>
            </w:r>
          </w:p>
        </w:tc>
        <w:tc>
          <w:tcPr>
            <w:tcW w:type="dxa" w:w="125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RP3 → RC1</w:t>
            </w:r>
          </w:p>
        </w:tc>
        <w:tc>
          <w:tcPr>
            <w:tcW w:type="dxa" w:w="269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Período abierto; Análisis de Sistemas exige Algoritmos regular; el alumno 54.321 no tiene Algoritmos regular</w:t>
            </w:r>
          </w:p>
        </w:tc>
        <w:tc>
          <w:tcPr>
            <w:tcW w:type="dxa" w:w="202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Inscribirse en Análisis de Sistemas, comisión 2K1</w:t>
            </w:r>
          </w:p>
        </w:tc>
        <w:tc>
          <w:tcPr>
            <w:tcW w:type="dxa" w:w="2891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Rechazo: "Falta la correlativa Algoritmos y Estructuras de Datos"; el cupo no cambia; la solicitud queda auditada</w:t>
            </w:r>
          </w:p>
        </w:tc>
      </w:tr>
      <w:tr>
        <w:trPr>
          <w:cantSplit/>
          <w:tblHeader w:val="false"/>
        </w:trPr>
        <w:tc>
          <w:tcPr>
            <w:tcW w:type="dxa" w:w="771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CP03</w:t>
            </w:r>
          </w:p>
        </w:tc>
        <w:tc>
          <w:tcPr>
            <w:tcW w:type="dxa" w:w="125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RP5 → RC1, RC2</w:t>
            </w:r>
          </w:p>
        </w:tc>
        <w:tc>
          <w:tcPr>
            <w:tcW w:type="dxa" w:w="269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Comisión 2K1 con cupo 40 y 39 inscriptos; dos alumnos que cumplen todos los requisitos</w:t>
            </w:r>
          </w:p>
        </w:tc>
        <w:tc>
          <w:tcPr>
            <w:tcW w:type="dxa" w:w="2024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Ambos confirman la inscripción en el mismo instante</w:t>
            </w:r>
          </w:p>
        </w:tc>
        <w:tc>
          <w:tcPr>
            <w:tcW w:type="dxa" w:w="2891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Uno recibe comprobante y el otro "Sin cupo disponible"; la comisión queda con 40 inscriptos</w:t>
            </w:r>
          </w:p>
        </w:tc>
      </w:tr>
    </w:tbl>
    <w:p>
      <w:pPr>
        <w:spacing w:after="160"/>
      </w:pP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Hacia adelante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(RC → RP → componente → caso de prueba) se comprueba que cada RC esté implementado y probado.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Hacia atrás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si falla un caso de prueba se sigue la fila hasta el RC para saber qué requisito y qué interesado se ven afectados. Un RP sin RC de origen es funcionalidad que nadie pidió, y un RC sin caso de prueba queda sin verificar.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SP 1.5 · INCONSISTENCIAS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Inconsistencia inventada: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RC2 y RP7 establecen que Secretaría configura el cupo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por comisión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pero en el diseño de la base de datos el cupo quedó guardado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por materia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así que todas las comisiones de una materia comparten el mismo valor.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Detección: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un caso de prueba que configura un cupo de 25 en una sola comisión e inscribe al alumno 26 falla, y la revisión de la matriz muestra que RP7 no tiene un componente que lo cumpla.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Corrección: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se registra la inconsistencia, se corrige el diseño para guardar el cupo por comisión, se vuelven a ejecutar ese caso y CP03 como regresión, y se actualiza la matriz de trazabilidad.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20"/>
      <w:jc w:val="center"/>
    </w:pPr>
    <w:r>
      <w:rPr>
        <w:rFonts w:ascii="Lexend" w:cs="Lexend" w:eastAsia="Lexend" w:hAnsi="Lexend"/>
        <w:color w:val="6B7075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40" w:hanging="3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nsecutiveHyphenLimit w:val="2"/>
  <w:doNotHyphenateCap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exend" w:cs="Lexend" w:eastAsia="Lexend" w:hAnsi="Lexend"/>
        <w:color w:val="1A1A1A"/>
        <w:sz w:val="22"/>
        <w:szCs w:val="22"/>
        <w:lang w:val="es-AR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63993dbfd8bf5fae78c045d6d914afdebbdf2a1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2026-10-15T14:51:37.568Z</dcterms:created>
  <dcterms:modified xsi:type="dcterms:W3CDTF">2026-10-15T14:51:37.568Z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