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before="0" w:after="70" w:line="360" w:lineRule="auto"/>
        <w:keepNext/>
      </w:pPr>
      <w:r>
        <w:rPr>
          <w:b/>
          <w:color w:val="000000"/>
          <w:sz w:val="34"/>
          <w:szCs w:val="34"/>
          <w:rFonts w:ascii="Aptos" w:hAnsi="Aptos" w:cs="Aptos"/>
        </w:rPr>
        <w:t>Avance del TPI Simulación de molinetes de subte</w:t>
      </w:r>
    </w:p>
    <w:p>
      <w:pPr>
        <w:pStyle w:val="Subtitle"/>
        <w:spacing w:before="0" w:after="210" w:line="280" w:lineRule="auto"/>
        <w:keepNext/>
      </w:pPr>
      <w:r>
        <w:rPr>
          <w:color w:val="404040"/>
          <w:sz w:val="23"/>
          <w:szCs w:val="23"/>
          <w:rFonts w:ascii="Aptos" w:hAnsi="Aptos" w:cs="Aptos"/>
        </w:rPr>
        <w:t>Definición del caso y modelo inicial en AnyLogic</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Dato</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Definición</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Integrantes</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Juan Cruz Bonadeo (53533) y Matias Estevez (53528)</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Comisión</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401</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Docente</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Guillermo Leale</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Fecha de reunión</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Miércoles 23 de septiembre de 2026</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Estado</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Tema aprobado el 20 de septiembre y modelo inicial preparado</w:t>
            </w:r>
          </w:p>
        </w:tc>
      </w:tr>
    </w:tbl>
    <w:p>
      <w:pPr>
        <w:spacing w:before="0" w:after="70" w:line="276" w:lineRule="auto"/>
      </w:pPr>
      <w:r>
        <w:rPr>
          <w:color w:val="000000"/>
          <w:sz w:val="21"/>
          <w:szCs w:val="21"/>
          <w:rFonts w:ascii="Aptos" w:hAnsi="Aptos" w:cs="Aptos"/>
        </w:rPr>
        <w:t/>
      </w:r>
    </w:p>
    <w:p>
      <w:pPr>
        <w:spacing w:before="0" w:after="180" w:line="276" w:lineRule="auto"/>
      </w:pPr>
      <w:r>
        <w:rPr>
          <w:b/>
          <w:color w:val="000000"/>
          <w:sz w:val="21"/>
          <w:szCs w:val="21"/>
          <w:rFonts w:ascii="Aptos" w:hAnsi="Aptos" w:cs="Aptos"/>
        </w:rPr>
        <w:t xml:space="preserve">Resultado actual. </w:t>
      </w:r>
      <w:r>
        <w:rPr>
          <w:color w:val="000000"/>
          <w:sz w:val="21"/>
          <w:szCs w:val="21"/>
          <w:rFonts w:ascii="Aptos" w:hAnsi="Aptos" w:cs="Aptos"/>
        </w:rPr>
        <w:t>El caso está definido con datos oficiales de SBASE y se preparó un modelo inicial en AnyLogic con los escenarios E0 a E3. Se verificaron la estructura del archivo, las funciones Java y las métricas mediante trazas controladas. Todavía falta ejecutar el proyecto completo en el IDE y resolver la estimación de los parámetros que no aparecen en los datos públicos.</w:t>
      </w:r>
    </w:p>
    <w:p>
      <w:pPr>
        <w:pStyle w:val="Heading1"/>
        <w:spacing w:before="140" w:after="90" w:line="276" w:lineRule="auto"/>
        <w:keepNext/>
      </w:pPr>
      <w:r>
        <w:rPr>
          <w:b/>
          <w:color w:val="000000"/>
          <w:sz w:val="27"/>
          <w:szCs w:val="27"/>
          <w:rFonts w:ascii="Aptos" w:hAnsi="Aptos" w:cs="Aptos"/>
        </w:rPr>
        <w:t>Definición del caso</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Dimensión</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Alcance</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Sistema</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Línea de molinetes del vestíbulo Principal de Constitución</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Línea y estación</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Línea C, estación Constitución</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Días</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Días hábiles</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Franja</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07:00 a 09:30</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Pico</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08:15 a 08:45</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Unidad</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Un pasajero que ingresa al subte</w:t>
            </w:r>
          </w:p>
        </w:tc>
      </w:tr>
    </w:tbl>
    <w:p>
      <w:pPr>
        <w:spacing w:before="0" w:after="70" w:line="276" w:lineRule="auto"/>
      </w:pPr>
      <w:r>
        <w:rPr>
          <w:color w:val="000000"/>
          <w:sz w:val="21"/>
          <w:szCs w:val="21"/>
          <w:rFonts w:ascii="Aptos" w:hAnsi="Aptos" w:cs="Aptos"/>
        </w:rPr>
        <w:t/>
      </w:r>
    </w:p>
    <w:p>
      <w:pPr>
        <w:spacing w:before="0" w:after="120" w:line="276" w:lineRule="auto"/>
      </w:pPr>
      <w:r>
        <w:rPr>
          <w:b/>
          <w:color w:val="000000"/>
          <w:sz w:val="21"/>
          <w:szCs w:val="21"/>
          <w:rFonts w:ascii="Aptos" w:hAnsi="Aptos" w:cs="Aptos"/>
        </w:rPr>
        <w:t xml:space="preserve">Problema de decisión. </w:t>
      </w:r>
      <w:r>
        <w:rPr>
          <w:color w:val="000000"/>
          <w:sz w:val="21"/>
          <w:szCs w:val="21"/>
          <w:rFonts w:ascii="Aptos" w:hAnsi="Aptos" w:cs="Aptos"/>
        </w:rPr>
        <w:t>Se evaluará cuánto mejoran las esperas al habilitar más molinetes, redistribuir parte del flujo hacia el vestíbulo Plaza o modificar el tiempo de validación mediante EMV y QR.</w:t>
      </w:r>
    </w:p>
    <w:p>
      <w:pPr>
        <w:spacing w:before="0" w:after="150" w:line="276" w:lineRule="auto"/>
      </w:pPr>
      <w:r>
        <w:rPr>
          <w:b/>
          <w:color w:val="000000"/>
          <w:sz w:val="21"/>
          <w:szCs w:val="21"/>
          <w:rFonts w:ascii="Aptos" w:hAnsi="Aptos" w:cs="Aptos"/>
        </w:rPr>
        <w:t xml:space="preserve">Por qué requiere simulación. </w:t>
      </w:r>
      <w:r>
        <w:rPr>
          <w:color w:val="000000"/>
          <w:sz w:val="21"/>
          <w:szCs w:val="21"/>
          <w:rFonts w:ascii="Aptos" w:hAnsi="Aptos" w:cs="Aptos"/>
        </w:rPr>
        <w:t>En promedio, cada molinete procesa un pasajero cada 8,5 segundos durante el pico. Sin embargo, el promedio de quince minutos puede ocultar congestión transitoria: los pasajeros que combinan desde la terminal del Ferrocarril Roca llegan en oleadas. El modelo permite estudiar cómo el tamaño de esas oleadas y el tiempo de validación afectan la espera.</w:t>
      </w:r>
    </w:p>
    <w:p>
      <w:pPr>
        <w:pStyle w:val="Heading1"/>
        <w:spacing w:before="120" w:after="90" w:line="276" w:lineRule="auto"/>
        <w:keepNext/>
      </w:pPr>
      <w:r>
        <w:rPr>
          <w:b/>
          <w:color w:val="000000"/>
          <w:sz w:val="27"/>
          <w:szCs w:val="27"/>
          <w:rFonts w:ascii="Aptos" w:hAnsi="Aptos" w:cs="Aptos"/>
        </w:rPr>
        <w:t>Evidencia disponible</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600"/>
        <w:gridCol w:w="5450"/>
      </w:tblGrid>
      <w:tr>
        <w:trPr>
          <w:tblHeader/>
        </w:trPr>
        <w:tc>
          <w:tcPr>
            <w:tcW w:w="3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Indicador</w:t>
            </w:r>
          </w:p>
        </w:tc>
        <w:tc>
          <w:tcPr>
            <w:tcW w:w="5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Valor observado</w:t>
            </w:r>
          </w:p>
        </w:tc>
      </w:tr>
      <w:tr>
        <w:tc>
          <w:tcPr>
            <w:tcW w:w="3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Base analizada</w:t>
            </w:r>
          </w:p>
        </w:tc>
        <w:tc>
          <w:tcPr>
            <w:tcW w:w="5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117 días hábiles depurados, enero a junio de 2026</w:t>
            </w:r>
          </w:p>
        </w:tc>
      </w:tr>
      <w:tr>
        <w:tc>
          <w:tcPr>
            <w:tcW w:w="3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Demanda 07:00 a 09:30</w:t>
            </w:r>
          </w:p>
        </w:tc>
        <w:tc>
          <w:tcPr>
            <w:tcW w:w="5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17.482 pasajeros por día hábil</w:t>
            </w:r>
          </w:p>
        </w:tc>
      </w:tr>
      <w:tr>
        <w:tc>
          <w:tcPr>
            <w:tcW w:w="3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Máximo medio</w:t>
            </w:r>
          </w:p>
        </w:tc>
        <w:tc>
          <w:tcPr>
            <w:tcW w:w="5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2.066 pasajeros cada 15 minutos a las 08:30</w:t>
            </w:r>
          </w:p>
        </w:tc>
      </w:tr>
      <w:tr>
        <w:tc>
          <w:tcPr>
            <w:tcW w:w="3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Molinetes</w:t>
            </w:r>
          </w:p>
        </w:tc>
        <w:tc>
          <w:tcPr>
            <w:tcW w:w="5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28 instalados, 21 con tráfico real y 19,5 activos en promedio</w:t>
            </w:r>
          </w:p>
        </w:tc>
      </w:tr>
      <w:tr>
        <w:tc>
          <w:tcPr>
            <w:tcW w:w="3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Participación por vestíbulo</w:t>
            </w:r>
          </w:p>
        </w:tc>
        <w:tc>
          <w:tcPr>
            <w:tcW w:w="5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Principal 84,7 % y Plaza 15,3 %</w:t>
            </w:r>
          </w:p>
        </w:tc>
      </w:tr>
      <w:tr>
        <w:tc>
          <w:tcPr>
            <w:tcW w:w="3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Desbalance observado</w:t>
            </w:r>
          </w:p>
        </w:tc>
        <w:tc>
          <w:tcPr>
            <w:tcW w:w="5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Turn14 procesa 1.485 pasajeros y Turn23 129 en la franja</w:t>
            </w:r>
          </w:p>
        </w:tc>
      </w:tr>
    </w:tbl>
    <w:p>
      <w:pPr>
        <w:spacing w:before="0" w:after="70" w:line="276" w:lineRule="auto"/>
      </w:pPr>
      <w:r>
        <w:rPr>
          <w:color w:val="000000"/>
          <w:sz w:val="21"/>
          <w:szCs w:val="21"/>
          <w:rFonts w:ascii="Aptos" w:hAnsi="Aptos" w:cs="Aptos"/>
        </w:rPr>
        <w:t/>
      </w:r>
    </w:p>
    <w:p>
      <w:pPr>
        <w:spacing w:before="0" w:after="140" w:line="276" w:lineRule="auto"/>
      </w:pPr>
      <w:r>
        <w:rPr>
          <w:b/>
          <w:color w:val="000000"/>
          <w:sz w:val="21"/>
          <w:szCs w:val="21"/>
          <w:rFonts w:ascii="Aptos" w:hAnsi="Aptos" w:cs="Aptos"/>
        </w:rPr>
        <w:t xml:space="preserve">Fuente. </w:t>
      </w:r>
      <w:r>
        <w:rPr>
          <w:color w:val="000000"/>
          <w:sz w:val="21"/>
          <w:szCs w:val="21"/>
          <w:rFonts w:ascii="Aptos" w:hAnsi="Aptos" w:cs="Aptos"/>
        </w:rPr>
        <w:t>BA Data, Viajes Molinetes 2026. Los conteos se encuentran desagregados por molinete y por intervalos de 15 minutos.</w:t>
      </w:r>
    </w:p>
    <w:p>
      <w:pPr>
        <w:pStyle w:val="Heading1"/>
        <w:spacing w:before="120" w:after="90" w:line="276" w:lineRule="auto"/>
        <w:keepNext/>
      </w:pPr>
      <w:r>
        <w:rPr>
          <w:b/>
          <w:color w:val="000000"/>
          <w:sz w:val="27"/>
          <w:szCs w:val="27"/>
          <w:rFonts w:ascii="Aptos" w:hAnsi="Aptos" w:cs="Aptos"/>
        </w:rPr>
        <w:t>Modelo inicial en AnyLogic</w:t>
      </w:r>
    </w:p>
    <w:p>
      <w:pPr>
        <w:spacing w:before="30" w:after="130" w:line="260" w:lineRule="auto"/>
        <w:jc w:val="center"/>
      </w:pPr>
      <w:r>
        <w:rPr>
          <w:b/>
          <w:color w:val="17365D"/>
          <w:sz w:val="21"/>
          <w:szCs w:val="21"/>
          <w:rFonts w:ascii="Aptos" w:hAnsi="Aptos" w:cs="Aptos"/>
        </w:rPr>
        <w:t>Source por tandas  -&gt;  Queue  -&gt;  Seize  -&gt;  Delay  -&gt;  Release  -&gt;  Sink</w:t>
      </w:r>
    </w:p>
    <w:p>
      <w:pPr>
        <w:spacing w:before="0" w:after="140" w:line="276" w:lineRule="auto"/>
      </w:pPr>
      <w:r>
        <w:rPr>
          <w:color w:val="000000"/>
          <w:sz w:val="21"/>
          <w:szCs w:val="21"/>
          <w:rFonts w:ascii="Aptos" w:hAnsi="Aptos" w:cs="Aptos"/>
        </w:rPr>
        <w:t>Cada agente representa un pasajero. Source inyecta varios pasajeros simultáneamente; Queue conserva el orden FIFO; Seize toma un molinete del ResourcePool; Delay representa la validación; Release libera el recurso y Sink registra la salida. Los arribos se detienen a las 09:30 y el modelo continúa hasta procesar a todos los pasajeros que llegaron dentro de la franja.</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600"/>
        <w:gridCol w:w="5450"/>
      </w:tblGrid>
      <w:tr>
        <w:trPr>
          <w:tblHeader/>
        </w:trPr>
        <w:tc>
          <w:tcPr>
            <w:tcW w:w="3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Parámetro</w:t>
            </w:r>
          </w:p>
        </w:tc>
        <w:tc>
          <w:tcPr>
            <w:tcW w:w="5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Estado</w:t>
            </w:r>
          </w:p>
        </w:tc>
      </w:tr>
      <w:tr>
        <w:tc>
          <w:tcPr>
            <w:tcW w:w="3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Cantidad base de molinetes</w:t>
            </w:r>
          </w:p>
        </w:tc>
        <w:tc>
          <w:tcPr>
            <w:tcW w:w="5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20 como aproximación entera provisional de 19,5</w:t>
            </w:r>
          </w:p>
        </w:tc>
      </w:tr>
      <w:tr>
        <w:tc>
          <w:tcPr>
            <w:tcW w:w="3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Cantidad en E1</w:t>
            </w:r>
          </w:p>
        </w:tc>
        <w:tc>
          <w:tcPr>
            <w:tcW w:w="5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28, sujeto a confirmar su disponibilidad para ingreso</w:t>
            </w:r>
          </w:p>
        </w:tc>
      </w:tr>
      <w:tr>
        <w:tc>
          <w:tcPr>
            <w:tcW w:w="3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Tiempo de servicio SUBE</w:t>
            </w:r>
          </w:p>
        </w:tc>
        <w:tc>
          <w:tcPr>
            <w:tcW w:w="5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No publicado; se tratará como parámetro incierto</w:t>
            </w:r>
          </w:p>
        </w:tc>
      </w:tr>
      <w:tr>
        <w:tc>
          <w:tcPr>
            <w:tcW w:w="3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Tiempo de servicio EMV y QR</w:t>
            </w:r>
          </w:p>
        </w:tc>
        <w:tc>
          <w:tcPr>
            <w:tcW w:w="5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No publicado; se tratará como parámetro incierto</w:t>
            </w:r>
          </w:p>
        </w:tc>
      </w:tr>
      <w:tr>
        <w:tc>
          <w:tcPr>
            <w:tcW w:w="3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Tamaño de tanda</w:t>
            </w:r>
          </w:p>
        </w:tc>
        <w:tc>
          <w:tcPr>
            <w:tcW w:w="5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A estimar con horarios ferroviarios y análisis de sensibilidad</w:t>
            </w:r>
          </w:p>
        </w:tc>
      </w:tr>
      <w:tr>
        <w:tc>
          <w:tcPr>
            <w:tcW w:w="3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Intervalo entre tandas</w:t>
            </w:r>
          </w:p>
        </w:tc>
        <w:tc>
          <w:tcPr>
            <w:tcW w:w="5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A aproximar con los horarios oficiales de la Línea Roca</w:t>
            </w:r>
          </w:p>
        </w:tc>
      </w:tr>
    </w:tbl>
    <w:p>
      <w:pPr>
        <w:spacing w:before="0" w:after="70" w:line="276" w:lineRule="auto"/>
      </w:pPr>
      <w:r>
        <w:rPr>
          <w:color w:val="000000"/>
          <w:sz w:val="21"/>
          <w:szCs w:val="21"/>
          <w:rFonts w:ascii="Aptos" w:hAnsi="Aptos" w:cs="Aptos"/>
        </w:rPr>
        <w:t/>
      </w:r>
    </w:p>
    <w:p>
      <w:pPr>
        <w:pStyle w:val="Heading1"/>
        <w:spacing w:before="130" w:after="90" w:line="276" w:lineRule="auto"/>
        <w:keepNext/>
      </w:pPr>
      <w:r>
        <w:rPr>
          <w:b/>
          <w:color w:val="000000"/>
          <w:sz w:val="27"/>
          <w:szCs w:val="27"/>
          <w:rFonts w:ascii="Aptos" w:hAnsi="Aptos" w:cs="Aptos"/>
        </w:rPr>
        <w:t>Escenarios</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6600"/>
      </w:tblGrid>
      <w:tr>
        <w:trPr>
          <w:tblHeader/>
        </w:trPr>
        <w:tc>
          <w:tcPr>
            <w:tcW w:w="24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Escenario</w:t>
            </w:r>
          </w:p>
        </w:tc>
        <w:tc>
          <w:tcPr>
            <w:tcW w:w="660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Cambio evaluado</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E0 Base</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Configuración actual con aproximadamente 20 molinetes activos</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E1 Capacidad</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Habilitar los 28 molinetes instalados</w:t>
            </w:r>
          </w:p>
        </w:tc>
      </w:tr>
      <w:tr>
        <w:tc>
          <w:tcPr>
            <w:tcW w:w="24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E2 Redistribución</w:t>
            </w:r>
          </w:p>
        </w:tc>
        <w:tc>
          <w:tcPr>
            <w:tcW w:w="660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Desviar una fracción del flujo hacia el vestíbulo Plaza</w:t>
            </w:r>
          </w:p>
        </w:tc>
      </w:tr>
      <w:tr>
        <w:tc>
          <w:tcPr>
            <w:tcW w:w="24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E3 Contactless</w:t>
            </w:r>
          </w:p>
        </w:tc>
        <w:tc>
          <w:tcPr>
            <w:tcW w:w="660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Evaluar distintos tiempos de validación para EMV y QR</w:t>
            </w:r>
          </w:p>
        </w:tc>
      </w:tr>
    </w:tbl>
    <w:p>
      <w:pPr>
        <w:spacing w:before="0" w:after="70" w:line="276" w:lineRule="auto"/>
      </w:pPr>
      <w:r>
        <w:rPr>
          <w:color w:val="000000"/>
          <w:sz w:val="21"/>
          <w:szCs w:val="21"/>
          <w:rFonts w:ascii="Aptos" w:hAnsi="Aptos" w:cs="Aptos"/>
        </w:rPr>
        <w:t/>
      </w:r>
    </w:p>
    <w:p>
      <w:pPr>
        <w:spacing w:before="0" w:after="150" w:line="276" w:lineRule="auto"/>
      </w:pPr>
      <w:r>
        <w:rPr>
          <w:color w:val="000000"/>
          <w:sz w:val="21"/>
          <w:szCs w:val="21"/>
          <w:rFonts w:ascii="Aptos" w:hAnsi="Aptos" w:cs="Aptos"/>
        </w:rPr>
        <w:t>E2 mide por ahora el alivio sobre el vestíbulo Principal y contabiliza a los pasajeros desviados. Para recomendar una mejora sobre toda la estación será necesario incorporar la capacidad, el flujo propio y la cola de Plaza.</w:t>
      </w:r>
    </w:p>
    <w:p>
      <w:pPr>
        <w:pStyle w:val="Heading1"/>
        <w:spacing w:before="120" w:after="90" w:line="276" w:lineRule="auto"/>
        <w:keepNext/>
      </w:pPr>
      <w:r>
        <w:rPr>
          <w:b/>
          <w:color w:val="000000"/>
          <w:sz w:val="27"/>
          <w:szCs w:val="27"/>
          <w:rFonts w:ascii="Aptos" w:hAnsi="Aptos" w:cs="Aptos"/>
        </w:rPr>
        <w:t>Limitaciones y estrategia de datos</w:t>
      </w:r>
    </w:p>
    <w:p>
      <w:pPr>
        <w:spacing w:before="0" w:after="100" w:line="276" w:lineRule="auto"/>
      </w:pPr>
      <w:r>
        <w:rPr>
          <w:color w:val="000000"/>
          <w:sz w:val="21"/>
          <w:szCs w:val="21"/>
          <w:rFonts w:ascii="Aptos" w:hAnsi="Aptos" w:cs="Aptos"/>
        </w:rPr>
        <w:t>SBASE publica validaciones por molinete en intervalos de quince minutos, pero no informa tiempos de servicio, colas observadas ni la composición de las oleadas. Como los integrantes residen en Rosario, no es posible realizar una medición presencial propia en Constitución. Esta limitación se declara para no presentar valores supuestos como datos observados.</w:t>
      </w:r>
    </w:p>
    <w:p>
      <w:pPr>
        <w:numPr>
          <w:ilvl w:val="0"/>
          <w:numId w:val="1"/>
        </w:numPr>
        <w:spacing w:before="0" w:after="55" w:line="250" w:lineRule="auto"/>
        <w:ind w:left="520" w:hanging="300"/>
      </w:pPr>
      <w:r>
        <w:rPr>
          <w:color w:val="000000"/>
          <w:sz w:val="20"/>
          <w:szCs w:val="20"/>
          <w:rFonts w:ascii="Aptos" w:hAnsi="Aptos" w:cs="Aptos"/>
        </w:rPr>
        <w:t>Usar los horarios oficiales de llegada de la Línea Roca para aproximar los intervalos entre oleadas.</w:t>
      </w:r>
    </w:p>
    <w:p>
      <w:pPr>
        <w:numPr>
          <w:ilvl w:val="0"/>
          <w:numId w:val="1"/>
        </w:numPr>
        <w:spacing w:before="0" w:after="55" w:line="250" w:lineRule="auto"/>
        <w:ind w:left="520" w:hanging="300"/>
      </w:pPr>
      <w:r>
        <w:rPr>
          <w:color w:val="000000"/>
          <w:sz w:val="20"/>
          <w:szCs w:val="20"/>
          <w:rFonts w:ascii="Aptos" w:hAnsi="Aptos" w:cs="Aptos"/>
        </w:rPr>
        <w:t>Solicitar a SBASE y Trenes Argentinos información con mayor granularidad, si estuviera disponible.</w:t>
      </w:r>
    </w:p>
    <w:p>
      <w:pPr>
        <w:numPr>
          <w:ilvl w:val="0"/>
          <w:numId w:val="1"/>
        </w:numPr>
        <w:spacing w:before="0" w:after="55" w:line="250" w:lineRule="auto"/>
        <w:ind w:left="520" w:hanging="300"/>
      </w:pPr>
      <w:r>
        <w:rPr>
          <w:color w:val="000000"/>
          <w:sz w:val="20"/>
          <w:szCs w:val="20"/>
          <w:rFonts w:ascii="Aptos" w:hAnsi="Aptos" w:cs="Aptos"/>
        </w:rPr>
        <w:t>Tratar el tamaño de tanda y los tiempos de servicio como factores experimentales y analizar rangos, sujetos a la conformidad del docente.</w:t>
      </w:r>
    </w:p>
    <w:p>
      <w:pPr>
        <w:numPr>
          <w:ilvl w:val="0"/>
          <w:numId w:val="1"/>
        </w:numPr>
        <w:spacing w:before="0" w:after="55" w:line="250" w:lineRule="auto"/>
        <w:ind w:left="520" w:hanging="300"/>
      </w:pPr>
      <w:r>
        <w:rPr>
          <w:color w:val="000000"/>
          <w:sz w:val="20"/>
          <w:szCs w:val="20"/>
          <w:rFonts w:ascii="Aptos" w:hAnsi="Aptos" w:cs="Aptos"/>
        </w:rPr>
        <w:t>Validar el caudal agregado del modelo contra ventanas de SBASE no utilizadas para parametrizarlo y declarar que la espera real no puede validarse con el dataset disponible.</w:t>
      </w:r>
    </w:p>
    <w:p>
      <w:pPr>
        <w:pStyle w:val="Heading1"/>
        <w:spacing w:before="120" w:after="90" w:line="276" w:lineRule="auto"/>
        <w:keepNext/>
      </w:pPr>
      <w:r>
        <w:rPr>
          <w:b/>
          <w:color w:val="000000"/>
          <w:sz w:val="27"/>
          <w:szCs w:val="27"/>
          <w:rFonts w:ascii="Aptos" w:hAnsi="Aptos" w:cs="Aptos"/>
        </w:rPr>
        <w:t>Medidas de rendimiento</w:t>
      </w:r>
    </w:p>
    <w:p>
      <w:pPr>
        <w:pStyle w:val="Heading2"/>
        <w:spacing w:before="0" w:after="60" w:line="276" w:lineRule="auto"/>
        <w:keepNext/>
      </w:pPr>
      <w:r>
        <w:rPr>
          <w:b/>
          <w:color w:val="000000"/>
          <w:sz w:val="22"/>
          <w:szCs w:val="22"/>
          <w:rFonts w:ascii="Aptos" w:hAnsi="Aptos" w:cs="Aptos"/>
        </w:rPr>
        <w:t>Medidas principales</w:t>
      </w:r>
    </w:p>
    <w:p>
      <w:pPr>
        <w:numPr>
          <w:ilvl w:val="0"/>
          <w:numId w:val="1"/>
        </w:numPr>
        <w:spacing w:before="0" w:after="55" w:line="250" w:lineRule="auto"/>
        <w:ind w:left="520" w:hanging="300"/>
      </w:pPr>
      <w:r>
        <w:rPr>
          <w:color w:val="000000"/>
          <w:sz w:val="20"/>
          <w:szCs w:val="20"/>
          <w:rFonts w:ascii="Aptos" w:hAnsi="Aptos" w:cs="Aptos"/>
        </w:rPr>
        <w:t>Tiempo de espera en cola por pasajero, expresado como media y percentil 90.</w:t>
      </w:r>
    </w:p>
    <w:p>
      <w:pPr>
        <w:numPr>
          <w:ilvl w:val="0"/>
          <w:numId w:val="1"/>
        </w:numPr>
        <w:spacing w:before="0" w:after="55" w:line="250" w:lineRule="auto"/>
        <w:ind w:left="520" w:hanging="300"/>
      </w:pPr>
      <w:r>
        <w:rPr>
          <w:color w:val="000000"/>
          <w:sz w:val="20"/>
          <w:szCs w:val="20"/>
          <w:rFonts w:ascii="Aptos" w:hAnsi="Aptos" w:cs="Aptos"/>
        </w:rPr>
        <w:t>Proporción de pasajeros con una espera superior a 30 segundos.</w:t>
      </w:r>
    </w:p>
    <w:p>
      <w:pPr>
        <w:numPr>
          <w:ilvl w:val="0"/>
          <w:numId w:val="1"/>
        </w:numPr>
        <w:spacing w:before="0" w:after="55" w:line="250" w:lineRule="auto"/>
        <w:ind w:left="520" w:hanging="300"/>
      </w:pPr>
      <w:r>
        <w:rPr>
          <w:color w:val="000000"/>
          <w:sz w:val="20"/>
          <w:szCs w:val="20"/>
          <w:rFonts w:ascii="Aptos" w:hAnsi="Aptos" w:cs="Aptos"/>
        </w:rPr>
        <w:t>Tiempo de disipación de cada tanda, desde su llegada hasta que la cola vuelve a cero.</w:t>
      </w:r>
    </w:p>
    <w:p>
      <w:pPr>
        <w:pStyle w:val="Heading2"/>
        <w:spacing w:before="70" w:after="60" w:line="276" w:lineRule="auto"/>
        <w:keepNext/>
      </w:pPr>
      <w:r>
        <w:rPr>
          <w:b/>
          <w:color w:val="000000"/>
          <w:sz w:val="22"/>
          <w:szCs w:val="22"/>
          <w:rFonts w:ascii="Aptos" w:hAnsi="Aptos" w:cs="Aptos"/>
        </w:rPr>
        <w:t>Medidas secundarias</w:t>
      </w:r>
    </w:p>
    <w:p>
      <w:pPr>
        <w:numPr>
          <w:ilvl w:val="0"/>
          <w:numId w:val="1"/>
        </w:numPr>
        <w:spacing w:before="0" w:after="55" w:line="250" w:lineRule="auto"/>
        <w:ind w:left="520" w:hanging="300"/>
      </w:pPr>
      <w:r>
        <w:rPr>
          <w:color w:val="000000"/>
          <w:sz w:val="20"/>
          <w:szCs w:val="20"/>
          <w:rFonts w:ascii="Aptos" w:hAnsi="Aptos" w:cs="Aptos"/>
        </w:rPr>
        <w:t>Largo promedio temporal de la cola y máximo por réplica.</w:t>
      </w:r>
    </w:p>
    <w:p>
      <w:pPr>
        <w:numPr>
          <w:ilvl w:val="0"/>
          <w:numId w:val="1"/>
        </w:numPr>
        <w:spacing w:before="0" w:after="55" w:line="250" w:lineRule="auto"/>
        <w:ind w:left="520" w:hanging="300"/>
      </w:pPr>
      <w:r>
        <w:rPr>
          <w:color w:val="000000"/>
          <w:sz w:val="20"/>
          <w:szCs w:val="20"/>
          <w:rFonts w:ascii="Aptos" w:hAnsi="Aptos" w:cs="Aptos"/>
        </w:rPr>
        <w:t>Utilización de los molinetes y dispersión entre unidades.</w:t>
      </w:r>
    </w:p>
    <w:p>
      <w:pPr>
        <w:numPr>
          <w:ilvl w:val="0"/>
          <w:numId w:val="1"/>
        </w:numPr>
        <w:spacing w:before="0" w:after="55" w:line="250" w:lineRule="auto"/>
        <w:ind w:left="520" w:hanging="300"/>
      </w:pPr>
      <w:r>
        <w:rPr>
          <w:color w:val="000000"/>
          <w:sz w:val="20"/>
          <w:szCs w:val="20"/>
          <w:rFonts w:ascii="Aptos" w:hAnsi="Aptos" w:cs="Aptos"/>
        </w:rPr>
        <w:t>Pasajeros procesados y balance de la cohorte al cierre de la franja.</w:t>
      </w:r>
    </w:p>
    <w:p>
      <w:pPr>
        <w:spacing w:before="0" w:after="150" w:line="276" w:lineRule="auto"/>
      </w:pPr>
      <w:r>
        <w:rPr>
          <w:color w:val="000000"/>
          <w:sz w:val="21"/>
          <w:szCs w:val="21"/>
          <w:rFonts w:ascii="Aptos" w:hAnsi="Aptos" w:cs="Aptos"/>
        </w:rPr>
        <w:t>La comparación final utilizará corridas múltiples. Se recomendará una configuración por su percentil 90 de espera únicamente si el intervalo de confianza del 95 % de la diferencia apareada frente a E0 no contiene cero.</w:t>
      </w:r>
    </w:p>
    <w:p>
      <w:pPr>
        <w:pStyle w:val="Heading1"/>
        <w:spacing w:before="120" w:after="90" w:line="276" w:lineRule="auto"/>
        <w:keepNext/>
      </w:pPr>
      <w:r>
        <w:rPr>
          <w:b/>
          <w:color w:val="000000"/>
          <w:sz w:val="27"/>
          <w:szCs w:val="27"/>
          <w:rFonts w:ascii="Aptos" w:hAnsi="Aptos" w:cs="Aptos"/>
        </w:rPr>
        <w:t>Estado para la reunión</w:t>
      </w:r>
    </w:p>
    <w:tbl>
      <w:tblPr>
        <w:tblW w:w="0" w:type="auto"/>
        <w:tblLayout w:type="fixed"/>
        <w:tblCellMar>
          <w:top w:w="95" w:type="dxa"/>
          <w:left w:w="110" w:type="dxa"/>
          <w:bottom w:w="95" w:type="dxa"/>
          <w:right w:w="110" w:type="dxa"/>
        </w:tblCellMa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00"/>
        <w:gridCol w:w="6950"/>
      </w:tblGrid>
      <w:tr>
        <w:trPr>
          <w:tblHeader/>
        </w:trPr>
        <w:tc>
          <w:tcPr>
            <w:tcW w:w="2100" w:type="dxa"/>
            <w:shd w:val="clear" w:color="auto" w:fill="17365D"/>
            <w:vAlign w:val="center"/>
            <w:tcMar>
              <w:top w:w="95" w:type="dxa"/>
              <w:left w:w="110" w:type="dxa"/>
              <w:bottom w:w="95" w:type="dxa"/>
              <w:right w:w="110" w:type="dxa"/>
            </w:tcMar>
          </w:tcPr>
          <w:p>
            <w:pPr>
              <w:spacing w:before="0" w:after="0" w:line="240" w:lineRule="auto"/>
              <w:jc w:val="center"/>
            </w:pPr>
            <w:r>
              <w:rPr>
                <w:b/>
                <w:color w:val="FFFFFF"/>
                <w:sz w:val="18"/>
                <w:szCs w:val="18"/>
                <w:rFonts w:ascii="Aptos" w:hAnsi="Aptos" w:cs="Aptos"/>
              </w:rPr>
              <w:t>Estado</w:t>
            </w:r>
          </w:p>
        </w:tc>
        <w:tc>
          <w:tcPr>
            <w:tcW w:w="6950" w:type="dxa"/>
            <w:shd w:val="clear" w:color="auto" w:fill="17365D"/>
            <w:vAlign w:val="center"/>
            <w:tcMar>
              <w:top w:w="95" w:type="dxa"/>
              <w:left w:w="110" w:type="dxa"/>
              <w:bottom w:w="95" w:type="dxa"/>
              <w:right w:w="110" w:type="dxa"/>
            </w:tcMar>
          </w:tcPr>
          <w:p>
            <w:pPr>
              <w:spacing w:before="0" w:after="0" w:line="240" w:lineRule="auto"/>
              <w:jc w:val="left"/>
            </w:pPr>
            <w:r>
              <w:rPr>
                <w:b/>
                <w:color w:val="FFFFFF"/>
                <w:sz w:val="18"/>
                <w:szCs w:val="18"/>
                <w:rFonts w:ascii="Aptos" w:hAnsi="Aptos" w:cs="Aptos"/>
              </w:rPr>
              <w:t>Elemento</w:t>
            </w:r>
          </w:p>
        </w:tc>
      </w:tr>
      <w:tr>
        <w:tc>
          <w:tcPr>
            <w:tcW w:w="210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Listo</w:t>
            </w:r>
          </w:p>
        </w:tc>
        <w:tc>
          <w:tcPr>
            <w:tcW w:w="69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Línea, estación, vestíbulo, días, franja y pico definidos</w:t>
            </w:r>
          </w:p>
        </w:tc>
      </w:tr>
      <w:tr>
        <w:tc>
          <w:tcPr>
            <w:tcW w:w="210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Listo</w:t>
            </w:r>
          </w:p>
        </w:tc>
        <w:tc>
          <w:tcPr>
            <w:tcW w:w="69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Datos SBASE perfilados y fundamento del uso de simulación</w:t>
            </w:r>
          </w:p>
        </w:tc>
      </w:tr>
      <w:tr>
        <w:tc>
          <w:tcPr>
            <w:tcW w:w="210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Listo</w:t>
            </w:r>
          </w:p>
        </w:tc>
        <w:tc>
          <w:tcPr>
            <w:tcW w:w="69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Escenarios E0 a E3 y medidas de rendimiento</w:t>
            </w:r>
          </w:p>
        </w:tc>
      </w:tr>
      <w:tr>
        <w:tc>
          <w:tcPr>
            <w:tcW w:w="210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Listo</w:t>
            </w:r>
          </w:p>
        </w:tc>
        <w:tc>
          <w:tcPr>
            <w:tcW w:w="69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Modelo inicial y parámetros expuestos en AnyLogic</w:t>
            </w:r>
          </w:p>
        </w:tc>
      </w:tr>
      <w:tr>
        <w:tc>
          <w:tcPr>
            <w:tcW w:w="210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Pendiente</w:t>
            </w:r>
          </w:p>
        </w:tc>
        <w:tc>
          <w:tcPr>
            <w:tcW w:w="69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Definir con el docente el tratamiento de los parámetros no observados</w:t>
            </w:r>
          </w:p>
        </w:tc>
      </w:tr>
      <w:tr>
        <w:tc>
          <w:tcPr>
            <w:tcW w:w="2100" w:type="dxa"/>
            <w:shd w:val="clear" w:color="auto" w:fill="F2F6FA"/>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Pendiente</w:t>
            </w:r>
          </w:p>
        </w:tc>
        <w:tc>
          <w:tcPr>
            <w:tcW w:w="6950" w:type="dxa"/>
            <w:shd w:val="clear" w:color="auto" w:fill="F2F6FA"/>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Relevar horarios oficiales del Roca y solicitar datos adicionales</w:t>
            </w:r>
          </w:p>
        </w:tc>
      </w:tr>
      <w:tr>
        <w:tc>
          <w:tcPr>
            <w:tcW w:w="2100" w:type="dxa"/>
            <w:shd w:val="clear" w:color="auto" w:fill="FFFFFF"/>
            <w:vAlign w:val="center"/>
            <w:tcMar>
              <w:top w:w="95" w:type="dxa"/>
              <w:left w:w="110" w:type="dxa"/>
              <w:bottom w:w="95" w:type="dxa"/>
              <w:right w:w="110" w:type="dxa"/>
            </w:tcMar>
          </w:tcPr>
          <w:p>
            <w:pPr>
              <w:spacing w:before="0" w:after="0" w:line="240" w:lineRule="auto"/>
              <w:jc w:val="center"/>
            </w:pPr>
            <w:r>
              <w:rPr>
                <w:color w:val="000000"/>
                <w:sz w:val="19"/>
                <w:szCs w:val="19"/>
                <w:rFonts w:ascii="Aptos" w:hAnsi="Aptos" w:cs="Aptos"/>
              </w:rPr>
              <w:t>Pendiente</w:t>
            </w:r>
          </w:p>
        </w:tc>
        <w:tc>
          <w:tcPr>
            <w:tcW w:w="6950" w:type="dxa"/>
            <w:shd w:val="clear" w:color="auto" w:fill="FFFFFF"/>
            <w:vAlign w:val="center"/>
            <w:tcMar>
              <w:top w:w="95" w:type="dxa"/>
              <w:left w:w="110" w:type="dxa"/>
              <w:bottom w:w="95" w:type="dxa"/>
              <w:right w:w="110" w:type="dxa"/>
            </w:tcMar>
          </w:tcPr>
          <w:p>
            <w:pPr>
              <w:spacing w:before="0" w:after="0" w:line="240" w:lineRule="auto"/>
              <w:jc w:val="left"/>
            </w:pPr>
            <w:r>
              <w:rPr>
                <w:color w:val="000000"/>
                <w:sz w:val="19"/>
                <w:szCs w:val="19"/>
                <w:rFonts w:ascii="Aptos" w:hAnsi="Aptos" w:cs="Aptos"/>
              </w:rPr>
              <w:t>Compilación y ejecución completa del proyecto en el IDE</w:t>
            </w:r>
          </w:p>
        </w:tc>
      </w:tr>
    </w:tbl>
    <w:p>
      <w:pPr>
        <w:spacing w:before="0" w:after="70" w:line="276" w:lineRule="auto"/>
      </w:pPr>
      <w:r>
        <w:rPr>
          <w:color w:val="000000"/>
          <w:sz w:val="21"/>
          <w:szCs w:val="21"/>
          <w:rFonts w:ascii="Aptos" w:hAnsi="Aptos" w:cs="Aptos"/>
        </w:rPr>
        <w:t/>
      </w:r>
    </w:p>
    <w:p>
      <w:pPr>
        <w:spacing w:before="30" w:after="0" w:line="276" w:lineRule="auto"/>
      </w:pPr>
      <w:r>
        <w:rPr>
          <w:b/>
          <w:color w:val="000000"/>
          <w:sz w:val="21"/>
          <w:szCs w:val="21"/>
          <w:rFonts w:ascii="Aptos" w:hAnsi="Aptos" w:cs="Aptos"/>
        </w:rPr>
        <w:t xml:space="preserve">Próximo paso. </w:t>
      </w:r>
      <w:r>
        <w:rPr>
          <w:color w:val="000000"/>
          <w:sz w:val="21"/>
          <w:szCs w:val="21"/>
          <w:rFonts w:ascii="Aptos" w:hAnsi="Aptos" w:cs="Aptos"/>
        </w:rPr>
        <w:t>Acordar con el docente la estrategia para los parámetros no observados. Si acepta un análisis condicional, se definirán rangos para tiempos de servicio y tamaños de tanda, se ejecutarán múltiples réplicas y se informarán resultados de sensibilidad sin atribuirlos a mediciones inexistentes.</w:t>
      </w:r>
    </w:p>
    <w:sectPr>
      <w:headerReference w:type="default" r:id="rId2"/>
      <w:footerReference w:type="default" r:id="rId3"/>
      <w:pgSz w:w="11906" w:h="16838"/>
      <w:pgMar w:top="900" w:right="950" w:bottom="900" w:left="950" w:header="420" w:footer="420" w:gutter="0"/>
      <w:cols w:space="720"/>
      <w:docGrid w:linePitch="360"/>
    </w:sectPr>
  </w:body>
</w:document>
</file>

<file path=word/footer1.xml><?xml version="1.0" encoding="utf-8"?>
<w:ftr xmlns:w="http://schemas.openxmlformats.org/wordprocessingml/2006/main">
  <w:p>
    <w:pPr>
      <w:spacing w:before="0" w:after="0" w:line="276" w:lineRule="auto"/>
      <w:jc w:val="center"/>
    </w:pPr>
    <w:r>
      <w:rPr>
        <w:color w:val="707070"/>
        <w:sz w:val="16"/>
        <w:szCs w:val="16"/>
        <w:rFonts w:ascii="Aptos" w:hAnsi="Aptos" w:cs="Aptos"/>
      </w:rPr>
      <w:t>Comisión 401  |  Bonadeo y Estevez  |  23 de septiembre de 2026</w:t>
    </w:r>
  </w:p>
</w:ftr>
</file>

<file path=word/header1.xml><?xml version="1.0" encoding="utf-8"?>
<w:hdr xmlns:w="http://schemas.openxmlformats.org/wordprocessingml/2006/main">
  <w:p>
    <w:pPr>
      <w:spacing w:before="0" w:after="0" w:line="276" w:lineRule="auto"/>
    </w:pPr>
    <w:r>
      <w:rPr>
        <w:b/>
        <w:color w:val="606060"/>
        <w:sz w:val="16"/>
        <w:szCs w:val="16"/>
        <w:rFonts w:ascii="Aptos" w:hAnsi="Aptos" w:cs="Aptos"/>
      </w:rPr>
      <w:t>SIM  |  TPI  |  MOLINETES DE CONSTITUCIÓN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20"/>
        </w:tabs>
        <w:ind w:left="520" w:hanging="30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ptos" w:hAnsi="Aptos"/>
        <w:sz w:val="21"/>
        <w:color w:val="000000"/>
      </w:rPr>
    </w:rPrDefault>
    <w:pPrDefault>
      <w:pPr>
        <w:spacing w:after="120" w:line="276" w:lineRule="auto"/>
      </w:pPr>
    </w:pPrDefault>
  </w:docDefaults>
  <w:style w:type="paragraph" w:default="1" w:styleId="Normal">
    <w:name w:val="Normal"/>
  </w:style>
  <w:style w:type="paragraph" w:styleId="Title">
    <w:name w:val="Title"/>
    <w:basedOn w:val="Normal"/>
    <w:next w:val="Normal"/>
    <w:pPr>
      <w:keepNext/>
      <w:spacing w:after="70"/>
    </w:pPr>
    <w:rPr>
      <w:b/>
      <w:color w:val="000000"/>
      <w:sz w:val="34"/>
    </w:rPr>
  </w:style>
  <w:style w:type="paragraph" w:styleId="Subtitle">
    <w:name w:val="Subtitle"/>
    <w:basedOn w:val="Normal"/>
    <w:next w:val="Normal"/>
    <w:pPr>
      <w:keepNext/>
      <w:spacing w:after="210"/>
    </w:pPr>
    <w:rPr>
      <w:color w:val="404040"/>
      <w:sz w:val="23"/>
    </w:rPr>
  </w:style>
  <w:style w:type="paragraph" w:styleId="Heading1">
    <w:name w:val="heading 1"/>
    <w:basedOn w:val="Normal"/>
    <w:next w:val="Normal"/>
    <w:qFormat/>
    <w:pPr>
      <w:keepNext/>
      <w:keepLines/>
      <w:spacing w:before="240" w:after="90"/>
      <w:outlineLvl w:val="0"/>
    </w:pPr>
    <w:rPr>
      <w:b/>
      <w:color w:val="000000"/>
      <w:sz w:val="27"/>
    </w:rPr>
  </w:style>
  <w:style w:type="paragraph" w:styleId="Heading2">
    <w:name w:val="heading 2"/>
    <w:basedOn w:val="Normal"/>
    <w:next w:val="Normal"/>
    <w:qFormat/>
    <w:pPr>
      <w:keepNext/>
      <w:keepLines/>
      <w:spacing w:before="150" w:after="60"/>
      <w:outlineLvl w:val="1"/>
    </w:pPr>
    <w:rPr>
      <w:b/>
      <w:color w:val="000000"/>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TPI Simulación de molinetes de subte</dc:title>
  <dc:creator>Juan Cruz Bonadeo y Matias Estevez</dc:creator>
  <dc:subject>Definición del caso y modelo inicial en AnyLogic</dc:subject>
  <dcterms:created xsi:type="dcterms:W3CDTF">2026-09-22T18:34:04Z</dcterms:created>
  <dcterms:modified xsi:type="dcterms:W3CDTF">2026-09-22T18:34:04Z</dcterms:modified>
</cp:coreProperties>
</file>